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50.png" ContentType="image/png"/>
  <Override PartName="/word/media/image1.png" ContentType="image/png"/>
  <Override PartName="/word/media/image51.png" ContentType="image/png"/>
  <Override PartName="/word/media/image2.png" ContentType="image/png"/>
  <Override PartName="/word/media/image52.png" ContentType="image/png"/>
  <Override PartName="/word/media/image30.png" ContentType="image/png"/>
  <Override PartName="/word/media/image3.png" ContentType="image/png"/>
  <Override PartName="/word/media/image4.png" ContentType="image/png"/>
  <Override PartName="/word/media/image31.png" ContentType="image/png"/>
  <Override PartName="/word/media/image53.png" ContentType="image/png"/>
  <Override PartName="/word/media/image5.png" ContentType="image/png"/>
  <Override PartName="/word/media/image10.png" ContentType="image/png"/>
  <Override PartName="/word/media/image32.png" ContentType="image/png"/>
  <Override PartName="/word/media/image54.png" ContentType="image/png"/>
  <Override PartName="/word/media/image6.png" ContentType="image/png"/>
  <Override PartName="/word/media/image11.png" ContentType="image/png"/>
  <Override PartName="/word/media/image33.png" ContentType="image/png"/>
  <Override PartName="/word/media/image55.png" ContentType="image/png"/>
  <Override PartName="/word/media/image7.png" ContentType="image/png"/>
  <Override PartName="/word/media/image12.png" ContentType="image/png"/>
  <Override PartName="/word/media/image34.png" ContentType="image/png"/>
  <Override PartName="/word/media/image56.png" ContentType="image/png"/>
  <Override PartName="/word/media/image8.png" ContentType="image/png"/>
  <Override PartName="/word/media/image13.png" ContentType="image/png"/>
  <Override PartName="/word/media/image35.png" ContentType="image/png"/>
  <Override PartName="/word/media/image57.png" ContentType="image/png"/>
  <Override PartName="/word/media/image9.png" ContentType="image/png"/>
  <Override PartName="/word/media/image14.png" ContentType="image/png"/>
  <Override PartName="/word/media/image36.png" ContentType="image/png"/>
  <Override PartName="/word/media/image58.png" ContentType="image/png"/>
  <Override PartName="/word/media/image15.png" ContentType="image/png"/>
  <Override PartName="/word/media/image37.png" ContentType="image/png"/>
  <Override PartName="/word/media/image59.png" ContentType="image/png"/>
  <Override PartName="/word/media/image16.png" ContentType="image/png"/>
  <Override PartName="/word/media/image38.png" ContentType="image/png"/>
  <Override PartName="/word/media/image17.png" ContentType="image/png"/>
  <Override PartName="/word/media/image39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42.png" ContentType="image/png"/>
  <Override PartName="/word/media/image64.png" ContentType="image/png"/>
  <Override PartName="/word/media/image21.png" ContentType="image/png"/>
  <Override PartName="/word/media/image43.png" ContentType="image/png"/>
  <Override PartName="/word/media/image22.png" ContentType="image/png"/>
  <Override PartName="/word/media/image44.png" ContentType="image/png"/>
  <Override PartName="/word/media/image23.png" ContentType="image/png"/>
  <Override PartName="/word/media/image45.png" ContentType="image/png"/>
  <Override PartName="/word/media/image24.png" ContentType="image/png"/>
  <Override PartName="/word/media/image46.png" ContentType="image/png"/>
  <Override PartName="/word/media/image25.png" ContentType="image/png"/>
  <Override PartName="/word/media/image47.png" ContentType="image/png"/>
  <Override PartName="/word/media/image26.png" ContentType="image/png"/>
  <Override PartName="/word/media/image48.png" ContentType="image/png"/>
  <Override PartName="/word/media/image27.png" ContentType="image/png"/>
  <Override PartName="/word/media/image49.png" ContentType="image/png"/>
  <Override PartName="/word/media/image28.png" ContentType="image/png"/>
  <Override PartName="/word/media/image29.png" ContentType="image/png"/>
  <Override PartName="/word/media/image40.png" ContentType="image/png"/>
  <Override PartName="/word/media/image62.png" ContentType="image/png"/>
  <Override PartName="/word/media/image41.png" ContentType="image/png"/>
  <Override PartName="/word/media/image63.png" ContentType="image/png"/>
  <Override PartName="/word/media/image60.png" ContentType="image/png"/>
  <Override PartName="/word/media/image61.png" ContentType="image/png"/>
  <Override PartName="/word/media/image65.png" ContentType="image/png"/>
  <Override PartName="/word/media/image66.png" ContentType="image/png"/>
  <Override PartName="/word/media/image67.png" ContentType="image/png"/>
  <Override PartName="/word/media/image68.png" ContentType="image/png"/>
  <Override PartName="/word/media/image69.png" ContentType="image/png"/>
  <Override PartName="/word/media/image70.png" ContentType="image/png"/>
  <Override PartName="/word/media/image71.png" ContentType="image/png"/>
  <Override PartName="/word/media/image72.png" ContentType="image/png"/>
  <Override PartName="/word/media/image73.png" ContentType="image/png"/>
  <Override PartName="/word/media/image74.png" ContentType="image/png"/>
  <Override PartName="/word/media/image75.png" ContentType="image/png"/>
  <Override PartName="/word/media/image76.png" ContentType="image/png"/>
  <Override PartName="/word/media/image77.png" ContentType="image/png"/>
  <Override PartName="/word/media/image78.png" ContentType="image/png"/>
  <Override PartName="/word/media/image79.png" ContentType="image/png"/>
  <Override PartName="/word/media/image80.png" ContentType="image/png"/>
  <Override PartName="/word/media/image81.png" ContentType="image/png"/>
  <Override PartName="/word/media/image82.png" ContentType="image/png"/>
  <Override PartName="/word/media/image83.png" ContentType="image/png"/>
  <Override PartName="/word/media/image84.png" ContentType="image/png"/>
  <Override PartName="/word/media/image85.png" ContentType="image/png"/>
  <Override PartName="/word/media/image86.png" ContentType="image/png"/>
  <Override PartName="/word/media/image87.png" ContentType="image/png"/>
  <Override PartName="/word/media/image88.png" ContentType="image/png"/>
  <Override PartName="/word/media/image89.png" ContentType="image/png"/>
  <Override PartName="/word/media/image90.png" ContentType="image/png"/>
  <Override PartName="/word/media/image91.png" ContentType="image/png"/>
  <Override PartName="/word/media/image92.png" ContentType="image/png"/>
  <Override PartName="/word/media/image93.png" ContentType="image/png"/>
  <Override PartName="/word/media/image94.png" ContentType="image/png"/>
  <Override PartName="/word/media/image95.png" ContentType="image/png"/>
  <Override PartName="/word/media/image96.png" ContentType="image/png"/>
  <Override PartName="/word/media/image97.png" ContentType="image/png"/>
  <Override PartName="/word/media/image98.png" ContentType="image/png"/>
  <Override PartName="/word/media/image99.png" ContentType="image/png"/>
  <Override PartName="/word/media/image100.png" ContentType="image/png"/>
  <Override PartName="/word/media/image101.png" ContentType="image/png"/>
  <Override PartName="/word/media/image10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9"/>
        <w:rPr/>
      </w:pPr>
      <w:bookmarkStart w:id="0" w:name="_GoBack"/>
      <w:bookmarkEnd w:id="0"/>
      <w:r>
        <w:rPr/>
        <w:t>Федеральное государственное автономное учреждение</w:t>
      </w:r>
    </w:p>
    <w:p>
      <w:pPr>
        <w:pStyle w:val="Style29"/>
        <w:rPr/>
      </w:pPr>
      <w:r>
        <w:rPr/>
        <w:t>научно-исследовательский институт «Восход»</w:t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29"/>
        <w:rPr/>
      </w:pPr>
      <w:r>
        <w:rPr/>
      </w:r>
    </w:p>
    <w:p>
      <w:pPr>
        <w:pStyle w:val="Style30"/>
        <w:rPr/>
      </w:pPr>
      <w:r>
        <w:rPr/>
        <w:t>Учебное пособие по теме</w:t>
      </w:r>
    </w:p>
    <w:p>
      <w:pPr>
        <w:pStyle w:val="Style30"/>
        <w:rPr/>
      </w:pPr>
      <w:r>
        <w:rPr/>
        <w:t>«Работа администратора в подсистеме «Облачный архив»</w:t>
        <w:br/>
        <w:t>ГИС «Платформа ЦХЭД»</w:t>
      </w:r>
    </w:p>
    <w:p>
      <w:pPr>
        <w:pStyle w:val="Style31"/>
        <w:rPr/>
      </w:pPr>
      <w:r>
        <w:rPr/>
        <w:t>Версия СПО 5.2.0</w:t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  <w:t>2024 год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Содержание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r>
            <w:fldChar w:fldCharType="begin"/>
          </w:r>
          <w:r>
            <w:rPr>
              <w:webHidden/>
              <w:rStyle w:val="Style7"/>
            </w:rPr>
            <w:instrText xml:space="preserve"> TOC \z \u \t "ЭУМ Заг3,3,ЭУМ Заг2,2,ЭУМ Заг1,1" \h</w:instrText>
          </w:r>
          <w:r>
            <w:rPr>
              <w:webHidden/>
              <w:rStyle w:val="Style7"/>
            </w:rPr>
            <w:fldChar w:fldCharType="separate"/>
          </w:r>
          <w:hyperlink w:anchor="_Toc184909289">
            <w:r>
              <w:rPr>
                <w:webHidden/>
                <w:rStyle w:val="Style7"/>
              </w:rPr>
              <w:t>Перечень принятых сокращений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_Toc184909289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0">
            <w:r>
              <w:rPr>
                <w:webHidden/>
                <w:rStyle w:val="Style7"/>
              </w:rPr>
              <w:t>Термины и определения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1">
            <w:r>
              <w:rPr>
                <w:webHidden/>
                <w:rStyle w:val="Style7"/>
              </w:rPr>
              <w:t>Введение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2">
            <w:r>
              <w:rPr>
                <w:webHidden/>
                <w:rStyle w:val="Style7"/>
              </w:rPr>
              <w:t>1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Системные настройки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3">
            <w:r>
              <w:rPr>
                <w:webHidden/>
                <w:rStyle w:val="Style7"/>
              </w:rPr>
              <w:t>1.1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Общие настройки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4">
            <w:r>
              <w:rPr>
                <w:webHidden/>
                <w:rStyle w:val="Style7"/>
              </w:rPr>
              <w:t>1.2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Параметры сообщений МЭДО и файла-дескриптора ТК ЦХЭД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5">
            <w:r>
              <w:rPr>
                <w:webHidden/>
                <w:rStyle w:val="Style7"/>
              </w:rPr>
              <w:t>1.3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Прием входящих ТК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6">
            <w:r>
              <w:rPr>
                <w:webHidden/>
                <w:rStyle w:val="Style7"/>
              </w:rPr>
              <w:t>1.4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Продление юридической значимости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7">
            <w:r>
              <w:rPr>
                <w:webHidden/>
                <w:rStyle w:val="Style7"/>
              </w:rPr>
              <w:t>1.5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Справочники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8">
            <w:r>
              <w:rPr>
                <w:webHidden/>
                <w:rStyle w:val="Style7"/>
              </w:rPr>
              <w:t>1.6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Модуль СКЗИ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299">
            <w:r>
              <w:rPr>
                <w:webHidden/>
                <w:rStyle w:val="Style7"/>
              </w:rPr>
              <w:t>1.7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Требования к паролям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_Toc184909299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0">
            <w:r>
              <w:rPr>
                <w:webHidden/>
                <w:rStyle w:val="Style7"/>
              </w:rPr>
              <w:t>1.8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Почтовый сервер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1">
            <w:r>
              <w:rPr>
                <w:webHidden/>
                <w:rStyle w:val="Style7"/>
              </w:rPr>
              <w:t>1.9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Антивирус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21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2">
            <w:r>
              <w:rPr>
                <w:webHidden/>
                <w:rStyle w:val="Style7"/>
              </w:rPr>
              <w:t>1.10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Мониторинг документов на уничтожение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21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3">
            <w:r>
              <w:rPr>
                <w:webHidden/>
                <w:rStyle w:val="Style7"/>
              </w:rPr>
              <w:t>1.11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Проверка МЧД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22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4">
            <w:r>
              <w:rPr>
                <w:webHidden/>
                <w:rStyle w:val="Style7"/>
              </w:rPr>
              <w:t>1.12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Техподдержка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24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5">
            <w:r>
              <w:rPr>
                <w:webHidden/>
                <w:rStyle w:val="Style7"/>
              </w:rPr>
              <w:t>2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Нормативно-справочная информация (НСИ)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25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6">
            <w:r>
              <w:rPr>
                <w:webHidden/>
                <w:rStyle w:val="Style7"/>
              </w:rPr>
              <w:t>2.1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Справочник «Источники»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7">
            <w:r>
              <w:rPr>
                <w:webHidden/>
                <w:rStyle w:val="Style7"/>
              </w:rPr>
              <w:t>2.2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Справочник «Архивы»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8">
            <w:r>
              <w:rPr>
                <w:webHidden/>
                <w:rStyle w:val="Style7"/>
              </w:rPr>
              <w:t>2.3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Справочник «Фонды»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30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09">
            <w:r>
              <w:rPr>
                <w:webHidden/>
                <w:rStyle w:val="Style7"/>
              </w:rPr>
              <w:t>2.4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Справочник «Участники согласований»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0">
            <w:r>
              <w:rPr>
                <w:webHidden/>
                <w:rStyle w:val="Style7"/>
              </w:rPr>
              <w:t>2.5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Справочник «Скомпрометированные пароли»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37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1">
            <w:r>
              <w:rPr>
                <w:webHidden/>
                <w:rStyle w:val="Style7"/>
              </w:rPr>
              <w:t>2.6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Справочник «Подразделения»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39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2">
            <w:r>
              <w:rPr>
                <w:webHidden/>
                <w:rStyle w:val="Style7"/>
              </w:rPr>
              <w:t>2.7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Справочник «Реестр видов документов»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42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3">
            <w:r>
              <w:rPr>
                <w:webHidden/>
                <w:rStyle w:val="Style7"/>
              </w:rPr>
              <w:t>3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Администрирование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44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4">
            <w:r>
              <w:rPr>
                <w:webHidden/>
                <w:rStyle w:val="Style7"/>
              </w:rPr>
              <w:t>3.1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Пользователи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44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5">
            <w:r>
              <w:rPr>
                <w:webHidden/>
                <w:rStyle w:val="Style7"/>
              </w:rPr>
              <w:t>3.1.1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Список пользователей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44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6">
            <w:r>
              <w:rPr>
                <w:webHidden/>
                <w:rStyle w:val="Style7"/>
              </w:rPr>
              <w:t>3.1.2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Создание пользователя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46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7">
            <w:r>
              <w:rPr>
                <w:webHidden/>
                <w:rStyle w:val="Style7"/>
              </w:rPr>
              <w:t>3.1.3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Профиль пользователя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48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8">
            <w:r>
              <w:rPr>
                <w:webHidden/>
                <w:rStyle w:val="Style7"/>
              </w:rPr>
              <w:t>3.1.4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Изменение общей информации о пользователе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50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19">
            <w:r>
              <w:rPr>
                <w:webHidden/>
                <w:rStyle w:val="Style7"/>
              </w:rPr>
              <w:t>3.1.5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Изменение пароля пользователя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50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0">
            <w:r>
              <w:rPr>
                <w:webHidden/>
                <w:rStyle w:val="Style7"/>
              </w:rPr>
              <w:t>3.1.6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Указание подразделений пользователя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51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1">
            <w:r>
              <w:rPr>
                <w:webHidden/>
                <w:rStyle w:val="Style7"/>
              </w:rPr>
              <w:t>3.1.7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Указание сертификатов электронной подписи пользователя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53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2">
            <w:r>
              <w:rPr>
                <w:webHidden/>
                <w:rStyle w:val="Style7"/>
              </w:rPr>
              <w:t>3.1.8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Назначение ролей пользователю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54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3">
            <w:r>
              <w:rPr>
                <w:webHidden/>
                <w:rStyle w:val="Style7"/>
              </w:rPr>
              <w:t>3.1.9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Расширение прав доступа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58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4">
            <w:r>
              <w:rPr>
                <w:webHidden/>
                <w:rStyle w:val="Style7"/>
              </w:rPr>
              <w:t>3.1.10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Блокировка пользователя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59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5">
            <w:r>
              <w:rPr>
                <w:webHidden/>
                <w:rStyle w:val="Style7"/>
              </w:rPr>
              <w:t>3.2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Системные роли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62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6">
            <w:r>
              <w:rPr>
                <w:webHidden/>
                <w:rStyle w:val="Style7"/>
              </w:rPr>
              <w:t>3.2.1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Список системных ролей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64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7">
            <w:r>
              <w:rPr>
                <w:webHidden/>
                <w:rStyle w:val="Style7"/>
              </w:rPr>
              <w:t>3.2.2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Редактирование системной роли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65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8">
            <w:r>
              <w:rPr>
                <w:webHidden/>
                <w:rStyle w:val="Style7"/>
              </w:rPr>
              <w:t>3.2.3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Создание системной роли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66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29">
            <w:r>
              <w:rPr>
                <w:webHidden/>
                <w:rStyle w:val="Style7"/>
              </w:rPr>
              <w:t>3.3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Журнал событий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69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30">
            <w:r>
              <w:rPr>
                <w:webHidden/>
                <w:rStyle w:val="Style7"/>
              </w:rPr>
              <w:t>4</w:t>
            </w:r>
            <w:r>
              <w:rPr>
                <w:rStyle w:val="Style7"/>
                <w:rFonts w:eastAsia="" w:cs="" w:ascii="Calibri" w:hAnsi="Calibri" w:asciiTheme="minorHAnsi" w:cstheme="minorBidi" w:eastAsiaTheme="minorEastAsia" w:hAnsiTheme="minorHAnsi"/>
                <w:bCs w:val="false"/>
                <w:sz w:val="22"/>
                <w:szCs w:val="22"/>
                <w:lang w:eastAsia="ru-RU" w:bidi="ar-SA"/>
                <w14:ligatures w14:val="standardContextual"/>
              </w:rPr>
              <w:tab/>
            </w:r>
            <w:r>
              <w:rPr>
                <w:rStyle w:val="Style7"/>
              </w:rPr>
              <w:t>Техническая поддержка Подсистемы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72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Cs w:val="false"/>
              <w:sz w:val="22"/>
              <w:szCs w:val="22"/>
              <w:lang w:eastAsia="ru-RU" w:bidi="ar-SA"/>
              <w14:ligatures w14:val="standardContextual"/>
            </w:rPr>
          </w:pPr>
          <w:hyperlink w:anchor="_Toc184909331">
            <w:r>
              <w:rPr>
                <w:webHidden/>
                <w:rStyle w:val="Style7"/>
              </w:rPr>
              <w:t>Приложение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_Toc184909331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7"/>
                <w:vanish w:val="false"/>
              </w:rPr>
              <w:tab/>
              <w:t>73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Style14"/>
        <w:ind w:hanging="0"/>
        <w:rPr>
          <w:lang w:val="en-US"/>
        </w:rPr>
      </w:pPr>
      <w:r>
        <w:rPr>
          <w:lang w:val="en-US"/>
        </w:rPr>
      </w:r>
    </w:p>
    <w:p>
      <w:pPr>
        <w:pStyle w:val="1-"/>
        <w:ind w:firstLine="709" w:left="0"/>
        <w:rPr/>
      </w:pPr>
      <w:bookmarkStart w:id="1" w:name="_Toc184909289"/>
      <w:r>
        <w:rPr/>
        <w:t>Перечень принятых сокращений</w:t>
      </w:r>
      <w:bookmarkEnd w:id="1"/>
    </w:p>
    <w:tbl>
      <w:tblPr>
        <w:tblW w:w="48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1691"/>
        <w:gridCol w:w="564"/>
        <w:gridCol w:w="7133"/>
      </w:tblGrid>
      <w:tr>
        <w:trPr>
          <w:trHeight w:val="700" w:hRule="atLeast"/>
        </w:trPr>
        <w:tc>
          <w:tcPr>
            <w:tcW w:w="1691" w:type="dxa"/>
            <w:tcBorders/>
          </w:tcPr>
          <w:p>
            <w:pPr>
              <w:pStyle w:val="Style22"/>
              <w:rPr/>
            </w:pPr>
            <w:r>
              <w:rPr>
                <w:rStyle w:val="Strong"/>
                <w:b/>
              </w:rPr>
              <w:t>Сокращение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Style22"/>
              <w:rPr/>
            </w:pPr>
            <w:r>
              <w:rPr/>
            </w:r>
          </w:p>
        </w:tc>
        <w:tc>
          <w:tcPr>
            <w:tcW w:w="7133" w:type="dxa"/>
            <w:tcBorders/>
          </w:tcPr>
          <w:p>
            <w:pPr>
              <w:pStyle w:val="Style22"/>
              <w:rPr/>
            </w:pPr>
            <w:r>
              <w:rPr>
                <w:rStyle w:val="Strong"/>
                <w:b/>
              </w:rPr>
              <w:t>Описание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АК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Архивный контейнер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‍</w:t>
            </w:r>
            <w:r>
              <w:rPr/>
              <w:t>МЧД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Машиночитаемая доверенность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‍</w:t>
            </w:r>
            <w:r>
              <w:rPr/>
              <w:t>МЭДО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Система межведомственного электронного документооборота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НСИ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Нормативно-справочная информация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‍</w:t>
            </w:r>
            <w:r>
              <w:rPr>
                <w:rStyle w:val="Strong"/>
                <w:b w:val="false"/>
                <w:bCs w:val="false"/>
              </w:rPr>
              <w:t>ОИК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Организация-источник комплектования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‍</w:t>
            </w:r>
            <w:r>
              <w:rPr/>
              <w:t>ПО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Программное обеспечение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Подсистема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Подсистема «Облачный архив» ГИС «Платформа ЦХЭД»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ТК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Транспортный контейнер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‍</w:t>
            </w:r>
            <w:r>
              <w:rPr/>
              <w:t>ЭД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Электронный документ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ЭП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/>
              <w:t>Электронная подпись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‍</w:t>
            </w:r>
            <w:r>
              <w:rPr/>
              <w:t>GUID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(англ. Globally Unique Identifier) – статистически уникальный 128-битный идентификатор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IP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(англ. Internet Protocol) – протокол передачи данных, набор правил, регулирующих формат данных, отправляемых через интернет или локальную сеть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IP- адрес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уникальный адрес, идентифицирующий устройство в интернете или локальной сети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/>
              <w:t>‍</w:t>
            </w:r>
            <w:r>
              <w:rPr/>
              <w:t>SMTP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(англ.Simple Mail Transfer Protocol) - сетевой протокол предназначенный для передачи электронной почты в сетях TCP/IP. SMTP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TLS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(англ.Transport Layer Security) - криптографический протокол, обеспечивающий безопасную передачу данных на транспортном уровне.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‍</w:t>
            </w:r>
            <w:r>
              <w:rPr>
                <w:rStyle w:val="Strong"/>
                <w:b w:val="false"/>
                <w:bCs w:val="false"/>
              </w:rPr>
              <w:t>XML</w:t>
            </w:r>
          </w:p>
        </w:tc>
        <w:tc>
          <w:tcPr>
            <w:tcW w:w="564" w:type="dxa"/>
            <w:tcBorders/>
          </w:tcPr>
          <w:p>
            <w:pPr>
              <w:pStyle w:val="Style17"/>
              <w:rPr/>
            </w:pPr>
            <w:r>
              <w:rPr>
                <w:rStyle w:val="Strong"/>
                <w:b w:val="false"/>
                <w:bCs w:val="false"/>
              </w:rPr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17"/>
              <w:jc w:val="both"/>
              <w:rPr>
                <w:lang w:val="en-US"/>
              </w:rPr>
            </w:pPr>
            <w:r>
              <w:rPr>
                <w:rStyle w:val="Strong"/>
                <w:b w:val="false"/>
                <w:bCs w:val="false"/>
                <w:lang w:val="en-US"/>
              </w:rPr>
              <w:t>(</w:t>
            </w:r>
            <w:r>
              <w:rPr>
                <w:rStyle w:val="Strong"/>
                <w:b w:val="false"/>
                <w:bCs w:val="false"/>
              </w:rPr>
              <w:t>англ</w:t>
            </w:r>
            <w:r>
              <w:rPr>
                <w:rStyle w:val="Strong"/>
                <w:b w:val="false"/>
                <w:bCs w:val="false"/>
                <w:lang w:val="en-US"/>
              </w:rPr>
              <w:t xml:space="preserve">. Extensible Markup Language) – </w:t>
            </w:r>
            <w:r>
              <w:rPr>
                <w:rStyle w:val="Strong"/>
                <w:b w:val="false"/>
                <w:bCs w:val="false"/>
              </w:rPr>
              <w:t>расширяемый</w:t>
            </w:r>
            <w:r>
              <w:rPr>
                <w:rStyle w:val="Strong"/>
                <w:b w:val="false"/>
                <w:bCs w:val="false"/>
                <w:lang w:val="en-US"/>
              </w:rPr>
              <w:t xml:space="preserve"> </w:t>
            </w:r>
            <w:r>
              <w:rPr>
                <w:rStyle w:val="Strong"/>
                <w:b w:val="false"/>
                <w:bCs w:val="false"/>
              </w:rPr>
              <w:t>язык</w:t>
            </w:r>
            <w:r>
              <w:rPr>
                <w:rStyle w:val="Strong"/>
                <w:b w:val="false"/>
                <w:bCs w:val="false"/>
                <w:lang w:val="en-US"/>
              </w:rPr>
              <w:t xml:space="preserve"> </w:t>
            </w:r>
            <w:r>
              <w:rPr>
                <w:rStyle w:val="Strong"/>
                <w:b w:val="false"/>
                <w:bCs w:val="false"/>
              </w:rPr>
              <w:t>разметки</w:t>
            </w:r>
          </w:p>
        </w:tc>
      </w:tr>
      <w:tr>
        <w:trPr>
          <w:trHeight w:val="567" w:hRule="atLeast"/>
        </w:trPr>
        <w:tc>
          <w:tcPr>
            <w:tcW w:w="1691" w:type="dxa"/>
            <w:tcBorders/>
          </w:tcPr>
          <w:p>
            <w:pPr>
              <w:pStyle w:val="Style26"/>
              <w:jc w:val="left"/>
              <w:rPr/>
            </w:pPr>
            <w:r>
              <w:rPr>
                <w:rStyle w:val="Strong"/>
                <w:b w:val="false"/>
                <w:bCs w:val="false"/>
              </w:rPr>
              <w:t>XSD</w:t>
            </w:r>
          </w:p>
        </w:tc>
        <w:tc>
          <w:tcPr>
            <w:tcW w:w="564" w:type="dxa"/>
            <w:tcBorders/>
          </w:tcPr>
          <w:p>
            <w:pPr>
              <w:pStyle w:val="Style26"/>
              <w:jc w:val="left"/>
              <w:rPr/>
            </w:pPr>
            <w:r>
              <w:rPr/>
              <w:t>–</w:t>
            </w:r>
          </w:p>
        </w:tc>
        <w:tc>
          <w:tcPr>
            <w:tcW w:w="7133" w:type="dxa"/>
            <w:tcBorders/>
          </w:tcPr>
          <w:p>
            <w:pPr>
              <w:pStyle w:val="Style26"/>
              <w:jc w:val="both"/>
              <w:rPr/>
            </w:pPr>
            <w:r>
              <w:rPr>
                <w:rStyle w:val="Strong"/>
                <w:b w:val="false"/>
                <w:bCs w:val="false"/>
              </w:rPr>
              <w:t>язык описания структуры XML документа, схема XSD используется для проверки файлов XML</w:t>
            </w:r>
          </w:p>
        </w:tc>
      </w:tr>
    </w:tbl>
    <w:p>
      <w:pPr>
        <w:pStyle w:val="1-"/>
        <w:ind w:firstLine="709" w:left="0"/>
        <w:rPr/>
      </w:pPr>
      <w:bookmarkStart w:id="2" w:name="_Toc184909290"/>
      <w:r>
        <w:rPr/>
        <w:t>Термины и определения</w:t>
      </w:r>
      <w:bookmarkEnd w:id="2"/>
    </w:p>
    <w:tbl>
      <w:tblPr>
        <w:tblW w:w="9695" w:type="dxa"/>
        <w:jc w:val="left"/>
        <w:tblInd w:w="45" w:type="dxa"/>
        <w:tblLayout w:type="fixed"/>
        <w:tblCellMar>
          <w:top w:w="15" w:type="dxa"/>
          <w:left w:w="108" w:type="dxa"/>
          <w:bottom w:w="0" w:type="dxa"/>
          <w:right w:w="50" w:type="dxa"/>
        </w:tblCellMar>
        <w:tblLook w:firstRow="0" w:noVBand="0" w:lastRow="0" w:firstColumn="0" w:lastColumn="0" w:noHBand="0" w:val="0000"/>
      </w:tblPr>
      <w:tblGrid>
        <w:gridCol w:w="2331"/>
        <w:gridCol w:w="7363"/>
      </w:tblGrid>
      <w:tr>
        <w:trPr>
          <w:trHeight w:val="486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Style22"/>
              <w:rPr/>
            </w:pPr>
            <w:r>
              <w:rPr>
                <w:rStyle w:val="Strong"/>
                <w:b/>
              </w:rPr>
              <w:t>Термин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Style22"/>
              <w:rPr/>
            </w:pPr>
            <w:r>
              <w:rPr>
                <w:rStyle w:val="Strong"/>
                <w:b/>
              </w:rPr>
              <w:t>Определение</w:t>
            </w:r>
          </w:p>
        </w:tc>
      </w:tr>
      <w:tr>
        <w:trPr>
          <w:trHeight w:val="1447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Архивный контейнер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Транспортный контейнер, прошедший процедуру верификации и конвертирования в установленный формат с наложением соответствующей электронной подписи для передачи в хранилище ЭАД</w:t>
            </w:r>
          </w:p>
        </w:tc>
      </w:tr>
      <w:tr>
        <w:trPr>
          <w:trHeight w:val="1447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ГИС «Платформа «ЦХЭД»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Государственная информационная система, обеспечивающая возможность хранения, комплектования, учета, поиска и обработки ЭАД с обеспечением их сохранности, аутентичности, целостности, достоверности и пригодности для использования</w:t>
            </w:r>
          </w:p>
        </w:tc>
      </w:tr>
      <w:tr>
        <w:trPr>
          <w:trHeight w:val="1447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Машиночитаемая доверенность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Электронная форма бумажной доверенности, подписанная квалифицированной электронной подписью руководителя организации или индивидуального предпринимателя, создается и представляется в файле формата XML</w:t>
            </w:r>
          </w:p>
        </w:tc>
      </w:tr>
      <w:tr>
        <w:trPr>
          <w:trHeight w:val="1447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Организация-источник комплектования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Федеральный орган государственной власти и подведомственные ему организации, в деятельности которых образуются электронные архивные документы</w:t>
            </w:r>
          </w:p>
        </w:tc>
      </w:tr>
      <w:tr>
        <w:trPr>
          <w:trHeight w:val="1114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Подсистема «Облачный архив»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Подсистема, представляющая собой облачную информационную систему, содержащую весь функционал подсистемы «Архив» и поддерживающую одновременную работу нескольких ОИК с разделением доступов к данным. Является информационным сегментом подсистемы «Архив»</w:t>
            </w:r>
          </w:p>
        </w:tc>
      </w:tr>
      <w:tr>
        <w:trPr>
          <w:trHeight w:val="1447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Подсистема «ЦХЭД»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Подсистема ГИС «Платформа «ЦХЭД», предназначенная для комплектования, регистрации, хранения, обработки и использования   электронных архивных документов, включенных в состав Архивного фонда Российской Федерации, федерального государственного архива</w:t>
            </w:r>
          </w:p>
        </w:tc>
      </w:tr>
      <w:tr>
        <w:trPr>
          <w:trHeight w:val="1447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Транспортный контейнер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Набор логически связанных файлов: электронной подписи (электронных подписей), метаданных, файла (файлов) архивного документа и (или) его визуализации, а также сопутствующей транспортной информации, объединенных в один файл, и являющийся единицей передачи информации архивного документа в электронном виде, гарантированная доставка которого обеспечивается за счет соблюдения процедуры обмена и подтверждается технологическим электронным сообщением. Транспортный контейнер должен соответствовать требованиям, установленным приказом Министерства цифрового развития, связи и массовых коммуникаций Российской Федерации и Федеральной службы охраны Российской Федерации от 4 декабря 2020 г. № 667/233 «Об утверждении Требований к организационно-техническому взаимодействию государственных органов и государственных организаций»</w:t>
            </w:r>
          </w:p>
        </w:tc>
      </w:tr>
      <w:tr>
        <w:trPr>
          <w:trHeight w:val="1447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Электронный архивный документ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Документированная информация, представленная в электронной форме, которая может быть идентифицирована и подлежит хранению в силу значимости указанной информации для граждан, общества и государства</w:t>
            </w:r>
          </w:p>
        </w:tc>
      </w:tr>
      <w:tr>
        <w:trPr>
          <w:trHeight w:val="1447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Электронный документ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Документ, созданный в электронной форме без предварительного документирования на бумажном носителе, подписанный электронной подписью в порядке, установленном законодательством Российской Федерации</w:t>
            </w:r>
          </w:p>
        </w:tc>
      </w:tr>
      <w:tr>
        <w:trPr>
          <w:trHeight w:val="1447" w:hRule="atLeast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Юридическая значимость документа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Способность документа выступать доказательством тех или иных фактов в рамках различных процедур, предусмотренных законодательством</w:t>
            </w:r>
          </w:p>
        </w:tc>
      </w:tr>
    </w:tbl>
    <w:p>
      <w:pPr>
        <w:pStyle w:val="1-"/>
        <w:ind w:firstLine="709" w:left="0"/>
        <w:rPr/>
      </w:pPr>
      <w:bookmarkStart w:id="3" w:name="_Toc184909291"/>
      <w:r>
        <w:rPr/>
        <w:t>Введение</w:t>
      </w:r>
      <w:bookmarkEnd w:id="3"/>
    </w:p>
    <w:p>
      <w:pPr>
        <w:pStyle w:val="Style14"/>
        <w:rPr/>
      </w:pPr>
      <w:r>
        <w:rPr/>
        <w:t>Учебное пособие по теме «Работа администратора в подсистеме «Облачный архив» ГИС «Платформа ЦХЭД» предназначено для локальных администраторов организаций-источников комплектования (ОИК) государственных архивных учреждений, в которых для передачи документов на хранение в электронном виде используется подсистема «Облачный архив» ГИС «Платформа ЦХЭД» (Подсистема)</w:t>
      </w:r>
      <w:r>
        <w:rPr>
          <w:color w:val="333333"/>
          <w:sz w:val="21"/>
        </w:rPr>
        <w:t>.</w:t>
      </w:r>
    </w:p>
    <w:p>
      <w:pPr>
        <w:pStyle w:val="Style14"/>
        <w:rPr/>
      </w:pPr>
      <w:r>
        <w:rPr/>
        <w:t>Для работы в Подсистеме администратору необходимо иметь понимание ключевых бизнес-процессов Подсистемы и иметь представление об участии пользователей с различными функциональными ролями в процессе обработки информации. Для этого перед изучением настоящего курса администратору рекомендуется ознакомиться с учебным пособием «Базовый курс по работе в подсистеме «Облачный архив» ГИС «Платформа ЦХЭД».</w:t>
      </w:r>
    </w:p>
    <w:p>
      <w:pPr>
        <w:pStyle w:val="Style14"/>
        <w:rPr/>
      </w:pPr>
      <w:r>
        <w:rPr/>
        <w:t>Расширенные, по сравнению с другими пользователями Подсистемы возможности администратора, подразумевают под собой наличие дополнительных прав доступа к разделам «Администрирование», «НСИ» (нормативно-справочная информация) и «Системные настройки» Главного меню Подсистемы. Работа с этими пунктами будет описана в настоящем учебном пособии.</w:t>
      </w:r>
    </w:p>
    <w:p>
      <w:pPr>
        <w:pStyle w:val="Style14"/>
        <w:rPr/>
      </w:pPr>
      <w:r>
        <w:rPr/>
        <w:t xml:space="preserve">Пользователям Подсистемы </w:t>
      </w:r>
      <w:r>
        <w:rPr>
          <w:color w:val="000000"/>
        </w:rPr>
        <w:t xml:space="preserve">с системной ролью «Администратор» </w:t>
      </w:r>
      <w:r>
        <w:rPr/>
        <w:t>доступны следующие функциональные возможности:</w:t>
      </w:r>
    </w:p>
    <w:p>
      <w:pPr>
        <w:pStyle w:val="Style15"/>
        <w:numPr>
          <w:ilvl w:val="0"/>
          <w:numId w:val="2"/>
        </w:numPr>
        <w:rPr/>
      </w:pPr>
      <w:r>
        <w:rPr/>
        <w:t>установка и редактирование параметров системных настроек (с ограничениями);</w:t>
      </w:r>
    </w:p>
    <w:p>
      <w:pPr>
        <w:pStyle w:val="Style15"/>
        <w:numPr>
          <w:ilvl w:val="0"/>
          <w:numId w:val="2"/>
        </w:numPr>
        <w:rPr/>
      </w:pPr>
      <w:r>
        <w:rPr/>
        <w:t>настройка и редактирование справочников нормативно-справочной информации (НСИ);</w:t>
      </w:r>
    </w:p>
    <w:p>
      <w:pPr>
        <w:pStyle w:val="Style15"/>
        <w:numPr>
          <w:ilvl w:val="0"/>
          <w:numId w:val="2"/>
        </w:numPr>
        <w:rPr/>
      </w:pPr>
      <w:r>
        <w:rPr/>
        <w:t>настройка и управление правами доступа пользователей Подсистемы к ее компонентам, просмотр действий пользователей.</w:t>
      </w:r>
    </w:p>
    <w:p>
      <w:pPr>
        <w:pStyle w:val="Style14"/>
        <w:rPr/>
      </w:pPr>
      <w:bookmarkStart w:id="4" w:name="__RefHeading___Toc41890_2932565611_Copy_"/>
      <w:bookmarkEnd w:id="4"/>
      <w:r>
        <w:rPr/>
        <w:t>Часть настроек имеют предустановленные значения и заполняются автоматически в момент создания инстанции ОИК в Подсистеме и после интеграции инстанции ОИК с Подсистемой ЦХЭД на основании внутренних справочников Государственного архива РФ, данных государственных информационных систем и внутренних справочников оператора ГИС «Платформа ЦХЭД». Такие параметры приводятся справочно и не подлежат самостоятельному редактированию локальным администратором.</w:t>
      </w:r>
    </w:p>
    <w:p>
      <w:pPr>
        <w:pStyle w:val="11"/>
        <w:rPr/>
      </w:pPr>
      <w:bookmarkStart w:id="5" w:name="_Toc184909292"/>
      <w:r>
        <w:rPr/>
        <w:t>Системные настройки</w:t>
      </w:r>
      <w:bookmarkEnd w:id="5"/>
    </w:p>
    <w:p>
      <w:pPr>
        <w:pStyle w:val="Style14"/>
        <w:rPr/>
      </w:pPr>
      <w:r>
        <w:rPr/>
        <w:t xml:space="preserve">Системные настройки позволяют настраивать параметры Подсистемы в соответствии с предпочтениями и требованиями ОИК. Панель системных настроек включается при нажатии на раздел </w:t>
      </w:r>
      <w:r>
        <w:rPr>
          <w:b/>
          <w:bCs/>
        </w:rPr>
        <w:t>«Системные настройки»</w:t>
      </w:r>
      <w:r>
        <w:rPr/>
        <w:t xml:space="preserve"> в Главном меню Подсистемы. Панель представляет собой перечень групп с набором полей, с помощью которых задаются параметры работы Подсистемы в текущей ОИК (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__RefNumPara__147793_2768924207 \n \h </w:instrText>
      </w:r>
      <w:r>
        <w:rPr>
          <w:lang w:val="en-US"/>
        </w:rPr>
        <w:fldChar w:fldCharType="separate"/>
      </w:r>
      <w:r>
        <w:rPr>
          <w:lang w:val="en-US"/>
        </w:rPr>
        <w:t>Рисунок 1.1</w:t>
      </w:r>
      <w:r>
        <w:rPr>
          <w:lang w:val="en-US"/>
        </w:rPr>
        <w:fldChar w:fldCharType="end"/>
      </w:r>
      <w:r>
        <w:rPr/>
        <w:t>).</w:t>
      </w:r>
    </w:p>
    <w:p>
      <w:pPr>
        <w:pStyle w:val="Style14"/>
        <w:rPr>
          <w:color w:val="000000"/>
        </w:rPr>
      </w:pPr>
      <w:r>
        <w:rPr>
          <w:color w:val="000000"/>
        </w:rPr>
        <w:t>Редактирование значений параметров осуществляется с помощью графической кнопки редактирования</w:t>
      </w:r>
      <w:r>
        <w:rPr>
          <w:b/>
          <w:bCs/>
          <w:color w:val="000000"/>
        </w:rPr>
        <w:t xml:space="preserve"> </w:t>
      </w:r>
      <w:r>
        <w:rPr/>
        <w:drawing>
          <wp:inline distT="0" distB="0" distL="0" distR="0">
            <wp:extent cx="298450" cy="298450"/>
            <wp:effectExtent l="0" t="0" r="0" b="0"/>
            <wp:docPr id="1" name="Изображение68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68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>,</w:t>
      </w:r>
      <w:r>
        <w:rPr>
          <w:color w:val="000000"/>
        </w:rPr>
        <w:t xml:space="preserve"> расположенной рядом с параметром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__RefNumPara__147793_2768924207 \n \h </w:instrText>
      </w:r>
      <w:r>
        <w:rPr>
          <w:color w:val="000000"/>
        </w:rPr>
        <w:fldChar w:fldCharType="separate"/>
      </w:r>
      <w:r>
        <w:rPr>
          <w:color w:val="000000"/>
        </w:rPr>
        <w:t>Рисунок 1.1</w:t>
      </w:r>
      <w:r>
        <w:rPr>
          <w:color w:val="000000"/>
        </w:rPr>
        <w:fldChar w:fldCharType="end"/>
      </w:r>
      <w:r>
        <w:rPr>
          <w:color w:val="000000"/>
        </w:rPr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4621530"/>
            <wp:effectExtent l="0" t="0" r="0" b="0"/>
            <wp:docPr id="2" name="Изображение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5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bookmarkStart w:id="6" w:name="__RefNumPara__147793_2768924207"/>
      <w:bookmarkEnd w:id="6"/>
      <w:r>
        <w:rPr/>
        <w:t>. Доступ к панели управления системными настройками</w:t>
      </w:r>
    </w:p>
    <w:p>
      <w:pPr>
        <w:pStyle w:val="Style14"/>
        <w:rPr>
          <w:color w:val="000000"/>
        </w:rPr>
      </w:pPr>
      <w:r>
        <w:rPr>
          <w:color w:val="000000"/>
        </w:rPr>
        <w:t xml:space="preserve">Для сохранения или отмены внесенных изменений значения параметра следует нажать на кнопку </w:t>
      </w:r>
      <w:r>
        <w:rPr>
          <w:b/>
          <w:bCs/>
          <w:color w:val="000000"/>
        </w:rPr>
        <w:t>«Сохранить изменения»</w:t>
      </w:r>
      <w:r>
        <w:rPr>
          <w:color w:val="000000"/>
        </w:rPr>
        <w:t xml:space="preserve"> </w:t>
      </w:r>
      <w:r>
        <w:rPr/>
        <w:drawing>
          <wp:inline distT="0" distB="0" distL="0" distR="0">
            <wp:extent cx="283845" cy="269875"/>
            <wp:effectExtent l="0" t="0" r="0" b="0"/>
            <wp:docPr id="3" name="Изображение6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6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или </w:t>
      </w:r>
      <w:r>
        <w:rPr>
          <w:b/>
          <w:bCs/>
          <w:color w:val="000000"/>
        </w:rPr>
        <w:t>«Отменить»</w:t>
      </w:r>
      <w:r>
        <w:rPr>
          <w:color w:val="000000"/>
        </w:rPr>
        <w:t xml:space="preserve"> </w:t>
      </w:r>
      <w:r>
        <w:rPr/>
        <w:drawing>
          <wp:inline distT="0" distB="0" distL="0" distR="0">
            <wp:extent cx="266065" cy="266065"/>
            <wp:effectExtent l="0" t="0" r="0" b="0"/>
            <wp:docPr id="4" name="Изображение7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70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рядом с изменяемым полем параметра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__RefNumPara__147966_2768924207 \n \h </w:instrText>
      </w:r>
      <w:r>
        <w:rPr>
          <w:color w:val="000000"/>
        </w:rPr>
        <w:fldChar w:fldCharType="separate"/>
      </w:r>
      <w:r>
        <w:rPr>
          <w:color w:val="000000"/>
        </w:rPr>
        <w:t>Рисунок 1.2</w:t>
      </w:r>
      <w:r>
        <w:rPr>
          <w:color w:val="000000"/>
        </w:rPr>
        <w:fldChar w:fldCharType="end"/>
      </w:r>
      <w:r>
        <w:rPr>
          <w:color w:val="000000"/>
        </w:rPr>
        <w:t>).</w:t>
      </w:r>
    </w:p>
    <w:p>
      <w:pPr>
        <w:pStyle w:val="Style20"/>
        <w:rPr/>
      </w:pPr>
      <w:r>
        <w:rPr/>
        <w:drawing>
          <wp:inline distT="0" distB="0" distL="0" distR="0">
            <wp:extent cx="6029960" cy="1609725"/>
            <wp:effectExtent l="0" t="0" r="0" b="0"/>
            <wp:docPr id="5" name="Изображение7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7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bookmarkStart w:id="7" w:name="__RefNumPara__147966_2768924207"/>
      <w:bookmarkEnd w:id="7"/>
      <w:r>
        <w:rPr/>
        <w:t>. Сохранение или отмена внесенных изменений значения параметра</w:t>
      </w:r>
    </w:p>
    <w:p>
      <w:pPr>
        <w:pStyle w:val="21"/>
        <w:rPr/>
      </w:pPr>
      <w:bookmarkStart w:id="8" w:name="_Toc184909293"/>
      <w:r>
        <w:rPr/>
        <w:t>Общие настройки</w:t>
      </w:r>
      <w:bookmarkEnd w:id="8"/>
    </w:p>
    <w:p>
      <w:pPr>
        <w:pStyle w:val="Style14"/>
        <w:rPr/>
      </w:pPr>
      <w:r>
        <w:rPr/>
        <w:t xml:space="preserve">В группе </w:t>
      </w:r>
      <w:r>
        <w:rPr>
          <w:b/>
          <w:bCs/>
        </w:rPr>
        <w:t>«Общие настройки»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__RefNumPara__1418_1107146394_Copy_1 \n \h </w:instrText>
      </w:r>
      <w:r>
        <w:rPr/>
        <w:fldChar w:fldCharType="separate"/>
      </w:r>
      <w:r>
        <w:rPr/>
        <w:t>Рисунок 1.3</w:t>
      </w:r>
      <w:r>
        <w:rPr/>
        <w:fldChar w:fldCharType="end"/>
      </w:r>
      <w:r>
        <w:rPr/>
        <w:t xml:space="preserve">) задаются настройки параметров, указанные в </w:t>
      </w:r>
      <w:r>
        <w:rPr/>
        <w:fldChar w:fldCharType="begin"/>
      </w:r>
      <w:r>
        <w:rPr/>
        <w:instrText xml:space="preserve"> REF __RefNumPara__6673_1107146394 \n \h </w:instrText>
      </w:r>
      <w:r>
        <w:rPr/>
        <w:fldChar w:fldCharType="separate"/>
      </w:r>
      <w:r>
        <w:rPr/>
        <w:t>Таблица 1</w:t>
      </w:r>
      <w:r>
        <w:rPr/>
        <w:fldChar w:fldCharType="end"/>
      </w:r>
      <w:r>
        <w:rPr/>
        <w:t>.</w:t>
      </w:r>
    </w:p>
    <w:p>
      <w:pPr>
        <w:pStyle w:val="Style20"/>
        <w:rPr/>
      </w:pPr>
      <w:r>
        <w:rPr/>
        <w:drawing>
          <wp:inline distT="0" distB="0" distL="0" distR="0">
            <wp:extent cx="6210300" cy="2925445"/>
            <wp:effectExtent l="0" t="0" r="0" b="0"/>
            <wp:docPr id="6" name="Изображение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bookmarkStart w:id="9" w:name="__RefNumPara__1418_1107146394_Copy_1"/>
      <w:bookmarkEnd w:id="9"/>
      <w:r>
        <w:rPr>
          <w:lang w:val="en-US"/>
        </w:rPr>
        <w:t>. Группа настроек «Общие настройки»</w:t>
      </w:r>
    </w:p>
    <w:p>
      <w:pPr>
        <w:pStyle w:val="Style14"/>
        <w:rPr/>
      </w:pPr>
      <w:r>
        <w:rPr/>
      </w:r>
    </w:p>
    <w:p>
      <w:pPr>
        <w:pStyle w:val="Style14"/>
        <w:rPr/>
      </w:pPr>
      <w:r>
        <w:rPr/>
      </w:r>
    </w:p>
    <w:p>
      <w:pPr>
        <w:pStyle w:val="Style21"/>
        <w:numPr>
          <w:ilvl w:val="0"/>
          <w:numId w:val="9"/>
        </w:numPr>
        <w:ind w:firstLine="709"/>
        <w:rPr/>
      </w:pPr>
      <w:r>
        <w:rPr/>
        <w:t>. Перечень настроек группы «Общие настройки»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319"/>
        <w:gridCol w:w="5460"/>
      </w:tblGrid>
      <w:tr>
        <w:trPr>
          <w:trHeight w:val="800" w:hRule="atLeast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Поле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Назначение</w:t>
            </w:r>
          </w:p>
        </w:tc>
      </w:tr>
      <w:tr>
        <w:trPr/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«Максимальное количество открытых сессий пользователя»</w:t>
            </w:r>
          </w:p>
        </w:tc>
        <w:tc>
          <w:tcPr>
            <w:tcW w:w="5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Настройка ограничивает число одновременных сессий пользователя в Подсистеме</w:t>
            </w:r>
          </w:p>
        </w:tc>
      </w:tr>
      <w:tr>
        <w:trPr/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«Количество получаемых уведомлений»</w:t>
            </w:r>
          </w:p>
        </w:tc>
        <w:tc>
          <w:tcPr>
            <w:tcW w:w="5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Максимальное количество уведомлений, сохраняемые Подсистемой. При превышении данного числа из списка уведомлений удаляются самые старые</w:t>
            </w:r>
          </w:p>
        </w:tc>
      </w:tr>
      <w:tr>
        <w:trPr/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«Путь для хранения файлов»</w:t>
            </w:r>
          </w:p>
        </w:tc>
        <w:tc>
          <w:tcPr>
            <w:tcW w:w="5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Предустановленный параметр.</w:t>
            </w:r>
          </w:p>
          <w:p>
            <w:pPr>
              <w:pStyle w:val="Style17"/>
              <w:rPr/>
            </w:pPr>
            <w:r>
              <w:rPr/>
              <w:t>Директория автоматического сохранения электронных документов (ЭД).</w:t>
            </w:r>
          </w:p>
          <w:p>
            <w:pPr>
              <w:pStyle w:val="Style17"/>
              <w:rPr/>
            </w:pPr>
            <w:r>
              <w:rPr/>
              <w:t>Не редактируется, значение параметра устанавливается при создании инстанции ОИК в Подсистеме</w:t>
            </w:r>
          </w:p>
        </w:tc>
      </w:tr>
      <w:tr>
        <w:trPr/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«Количество месяцев хранения событий безопасности»</w:t>
            </w:r>
          </w:p>
        </w:tc>
        <w:tc>
          <w:tcPr>
            <w:tcW w:w="5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</w:rPr>
            </w:pPr>
            <w:r>
              <w:rPr>
                <w:color w:val="000000"/>
              </w:rPr>
              <w:t>Максимальный срок хранения информации о событиях безопасности в Журнале событий Подсистемы</w:t>
            </w:r>
          </w:p>
        </w:tc>
      </w:tr>
      <w:tr>
        <w:trPr/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«Идентификатор приложения»</w:t>
            </w:r>
          </w:p>
        </w:tc>
        <w:tc>
          <w:tcPr>
            <w:tcW w:w="5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</w:rPr>
            </w:pPr>
            <w:r>
              <w:rPr>
                <w:color w:val="000000"/>
              </w:rPr>
              <w:t>Предустановленный параметр.</w:t>
            </w:r>
          </w:p>
          <w:p>
            <w:pPr>
              <w:pStyle w:val="Style17"/>
              <w:rPr>
                <w:color w:val="000000"/>
              </w:rPr>
            </w:pPr>
            <w:r>
              <w:rPr>
                <w:color w:val="000000"/>
              </w:rPr>
              <w:t>Уникальный номер инстанции ОИК.</w:t>
            </w:r>
          </w:p>
          <w:p>
            <w:pPr>
              <w:pStyle w:val="Style17"/>
              <w:rPr>
                <w:color w:val="000000"/>
              </w:rPr>
            </w:pPr>
            <w:r>
              <w:rPr>
                <w:color w:val="000000"/>
              </w:rPr>
              <w:t>Не редактируется. Значение параметра устанавливается при создании инстанции ОИК в Подсистеме</w:t>
            </w:r>
          </w:p>
        </w:tc>
      </w:tr>
    </w:tbl>
    <w:p>
      <w:pPr>
        <w:pStyle w:val="21"/>
        <w:rPr/>
      </w:pPr>
      <w:bookmarkStart w:id="10" w:name="_Toc184909294"/>
      <w:r>
        <w:rPr/>
        <w:t>Параметры сообщений МЭДО и файла-дескриптора ТК ЦХЭД</w:t>
      </w:r>
      <w:bookmarkEnd w:id="10"/>
    </w:p>
    <w:p>
      <w:pPr>
        <w:pStyle w:val="Style14"/>
        <w:rPr/>
      </w:pPr>
      <w:r>
        <w:rPr/>
        <w:t>Данный блок параметров отвечает за интеграцию Подсистемы с ЦХЭД архивного учреждения и задаёт параметры сообщений транспортных контейнеров (ТК) МЭДО.</w:t>
      </w:r>
    </w:p>
    <w:p>
      <w:pPr>
        <w:pStyle w:val="Style14"/>
        <w:shd w:val="clear" w:color="auto" w:fill="DDDDDD"/>
        <w:rPr>
          <w:i/>
          <w:i/>
          <w:iCs/>
        </w:rPr>
      </w:pPr>
      <w:r>
        <w:rPr>
          <w:b/>
          <w:bCs/>
          <w:i/>
          <w:iCs/>
        </w:rPr>
        <w:t xml:space="preserve">Примечание: </w:t>
      </w:r>
      <w:r>
        <w:rPr>
          <w:i/>
          <w:iCs/>
        </w:rPr>
        <w:t>Параметры данного блока предустановлены и настраиваются глобальными администраторами при создании инстанции ОИК в Подсистеме. В дальнейшем информация для настройки и редактирования предоставляется Службой технической поддержки Подсистемы. Администратору не следует редактировать параметры данного блока без согласования с технической поддержкой.</w:t>
      </w:r>
    </w:p>
    <w:p>
      <w:pPr>
        <w:pStyle w:val="Style14"/>
        <w:rPr/>
      </w:pPr>
      <w:r>
        <w:rPr/>
        <w:t xml:space="preserve">В группе </w:t>
      </w:r>
      <w:r>
        <w:rPr>
          <w:b/>
          <w:bCs/>
        </w:rPr>
        <w:t>«Параметры сообщений МЭДО и файла-дескриптора ТК ЦХЭД»</w:t>
      </w:r>
      <w:r>
        <w:rPr/>
        <w:t xml:space="preserve"> (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__RefNumPara__9015_1107146394 \n \h </w:instrText>
      </w:r>
      <w:r>
        <w:rPr>
          <w:lang w:val="en-US"/>
        </w:rPr>
        <w:fldChar w:fldCharType="separate"/>
      </w:r>
      <w:r>
        <w:rPr>
          <w:lang w:val="en-US"/>
        </w:rPr>
        <w:t>Рисунок 1.4</w:t>
      </w:r>
      <w:r>
        <w:rPr>
          <w:lang w:val="en-US"/>
        </w:rPr>
        <w:fldChar w:fldCharType="end"/>
      </w:r>
      <w:r>
        <w:rPr/>
        <w:t xml:space="preserve">) приведены настройки, указанные в </w:t>
      </w:r>
      <w:r>
        <w:rPr/>
        <w:fldChar w:fldCharType="begin"/>
      </w:r>
      <w:r>
        <w:rPr/>
        <w:instrText xml:space="preserve"> REF __RefNumPara__9013_1107146394 \n \h </w:instrText>
      </w:r>
      <w:r>
        <w:rPr/>
        <w:fldChar w:fldCharType="separate"/>
      </w:r>
      <w:r>
        <w:rPr/>
        <w:t>Таблица 2</w:t>
      </w:r>
      <w:r>
        <w:rPr/>
        <w:fldChar w:fldCharType="end"/>
      </w:r>
      <w:r>
        <w:rPr/>
        <w:t>.</w:t>
      </w:r>
    </w:p>
    <w:p>
      <w:pPr>
        <w:pStyle w:val="Style20"/>
        <w:rPr/>
      </w:pPr>
      <w:r>
        <w:rPr/>
        <w:drawing>
          <wp:inline distT="0" distB="0" distL="0" distR="0">
            <wp:extent cx="6210300" cy="4356735"/>
            <wp:effectExtent l="0" t="0" r="0" b="0"/>
            <wp:docPr id="7" name="Изображение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2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5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bookmarkStart w:id="11" w:name="__RefNumPara__9015_1107146394"/>
      <w:bookmarkEnd w:id="11"/>
      <w:r>
        <w:rPr/>
        <w:t>. Группа настроек «Настройки сообщений МЭДО и файла-дескриптора ЦХЭД»</w:t>
      </w:r>
    </w:p>
    <w:p>
      <w:pPr>
        <w:pStyle w:val="Style21"/>
        <w:numPr>
          <w:ilvl w:val="0"/>
          <w:numId w:val="9"/>
        </w:numPr>
        <w:ind w:firstLine="709"/>
        <w:rPr/>
      </w:pPr>
      <w:bookmarkStart w:id="12" w:name="__RefNumPara__9013_1107146394"/>
      <w:bookmarkEnd w:id="12"/>
      <w:r>
        <w:rPr/>
        <w:t>. Перечень настроек группы «Настройки сообщений МЭДО</w:t>
        <w:br/>
        <w:t>и файла-дескриптора ЦХЭД»</w:t>
      </w:r>
    </w:p>
    <w:tbl>
      <w:tblPr>
        <w:tblW w:w="9598" w:type="dxa"/>
        <w:jc w:val="left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799"/>
        <w:gridCol w:w="5798"/>
      </w:tblGrid>
      <w:tr>
        <w:trPr>
          <w:tblHeader w:val="true"/>
          <w:trHeight w:val="740" w:hRule="atLeast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rPr>
                <w:szCs w:val="28"/>
              </w:rPr>
            </w:pPr>
            <w:r>
              <w:rPr>
                <w:szCs w:val="28"/>
              </w:rPr>
              <w:t>Поле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rPr>
                <w:szCs w:val="28"/>
              </w:rPr>
            </w:pPr>
            <w:r>
              <w:rPr>
                <w:szCs w:val="28"/>
              </w:rPr>
              <w:t>Назначение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«Наименование ПО»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используемого для работы программного обеспечения (ПО)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«Версия ПО»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Текущая версия ПО. Изменяется автоматически после обновления ПО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«Версия XSD схемы Сообщение МЭДО»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Тип генерации XML файла из сообщения МЭДО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«Наименование ОИК»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ОИК в Подсистеме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«Идентификатор ОИК в ЦХЭД»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Идентификатор ОИК в базе данных подсистемы «ЦХЭД»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«GUID ОИК в МЭДО»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Уникальный идентификатор ОИК в МЭДО согласно Глобальному адресному справочнику.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(Как правило, тот же </w:t>
            </w:r>
            <w:r>
              <w:rPr>
                <w:color w:val="000000"/>
                <w:szCs w:val="28"/>
                <w:lang w:val="en-US"/>
              </w:rPr>
              <w:t>GUID</w:t>
            </w:r>
            <w:r>
              <w:rPr>
                <w:color w:val="000000"/>
                <w:szCs w:val="28"/>
              </w:rPr>
              <w:t>, который использует организация в настройках своего СЭД для идентификации отправителя своих документов из СЭД в МЭДО)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«Наименование организации-получателя документов ЦХЭД в МЭДО»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Предустановленный параметр.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организации, в адрес которой направляются ТК для передачи в подсистему «ЦХЭД»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«GUID организации-получателя документов ЦХЭД в МЭДО»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Предустановленный параметр.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GUID</w:t>
            </w:r>
            <w:r>
              <w:rPr>
                <w:color w:val="000000"/>
                <w:szCs w:val="28"/>
              </w:rPr>
              <w:t xml:space="preserve"> организации, в адрес которой направляются ТК для передачи в подсистему «ЦХЭД».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(Как правило, это </w:t>
            </w:r>
            <w:r>
              <w:rPr>
                <w:color w:val="000000"/>
                <w:szCs w:val="28"/>
                <w:lang w:val="en-US"/>
              </w:rPr>
              <w:t>GUID</w:t>
            </w:r>
            <w:r>
              <w:rPr>
                <w:color w:val="000000"/>
                <w:szCs w:val="28"/>
              </w:rPr>
              <w:t xml:space="preserve"> Организатора ЦХЭД из Глобального адресного справочника)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«E-mail организации-получателя документов ЦХЭД в МЭДО»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Адрес электронной почты организации </w:t>
            </w:r>
            <w:r>
              <w:rPr>
                <w:color w:val="000000"/>
              </w:rPr>
              <w:t>(параметр на данный момент не используется)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«Адресат МЭДО в ini-сообщении для ЦХЭД»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Предустановленный параметр.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Адрес МЭДО организации, в адрес которой направляются ТК для передачи в подсистему «ЦХЭД».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Данный адрес указывается Подсистемой в файле ini электронных сообщений, которые передаются в подсистему «ЦХЭД».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(Как правило, это адрес МЭДО Организатора ЦХЭД)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«Адресат МЭДО в ini-сообщении для ОИКа»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Предустановленный параметр.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Данный адрес МЭДО необходимо использовать, чтобы указать адресата в файле </w:t>
            </w:r>
            <w:r>
              <w:rPr>
                <w:color w:val="000000"/>
                <w:szCs w:val="28"/>
                <w:lang w:val="en-US"/>
              </w:rPr>
              <w:t>ini</w:t>
            </w:r>
            <w:r>
              <w:rPr>
                <w:color w:val="000000"/>
                <w:szCs w:val="28"/>
              </w:rPr>
              <w:t xml:space="preserve"> сообщений, в которых отправляются ТК с документами из СЭД ОИК в подсистему «Облачный архив»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Также этот адрес использует подсистема «ЦХЭД» как адресата, для передачи сообщений из ЦХЭД в «Облачный архив».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(Как правило, это адрес МЭДО Организатора ТР «Архив»)</w:t>
            </w:r>
          </w:p>
        </w:tc>
      </w:tr>
      <w:tr>
        <w:trPr>
          <w:trHeight w:val="290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«Тип транспортного контейнера»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Предустановленный параметр.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Тип ТК при передаче данных из Подсистемы в подсистему ЦХЭД.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Подсистеме передача данных происходит посредством Архивного ТК</w:t>
            </w:r>
          </w:p>
        </w:tc>
      </w:tr>
      <w:tr>
        <w:trPr>
          <w:trHeight w:val="1126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«Идентификатор МЭДО отправителя (ведомства)»</w:t>
            </w:r>
          </w:p>
        </w:tc>
        <w:tc>
          <w:tcPr>
            <w:tcW w:w="5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Предустановленный параметр.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Уникальный идентификатор (</w:t>
            </w:r>
            <w:r>
              <w:rPr>
                <w:color w:val="000000"/>
                <w:szCs w:val="28"/>
                <w:lang w:val="en-US"/>
              </w:rPr>
              <w:t>GUID</w:t>
            </w:r>
            <w:r>
              <w:rPr>
                <w:color w:val="000000"/>
                <w:szCs w:val="28"/>
              </w:rPr>
              <w:t>) организации из Глобального адресного справочника, который указан как отправитель в ТК, направляемых из подсистемы «Облачный архив».</w:t>
            </w:r>
          </w:p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(Как правило, это </w:t>
            </w:r>
            <w:r>
              <w:rPr>
                <w:color w:val="000000"/>
                <w:szCs w:val="28"/>
                <w:lang w:val="en-US"/>
              </w:rPr>
              <w:t>GUID</w:t>
            </w:r>
            <w:r>
              <w:rPr>
                <w:color w:val="000000"/>
                <w:szCs w:val="28"/>
              </w:rPr>
              <w:t xml:space="preserve"> Организатора ТР «Архив»)</w:t>
            </w:r>
          </w:p>
        </w:tc>
      </w:tr>
    </w:tbl>
    <w:p>
      <w:pPr>
        <w:pStyle w:val="21"/>
        <w:rPr/>
      </w:pPr>
      <w:bookmarkStart w:id="13" w:name="_Toc184909295"/>
      <w:r>
        <w:rPr/>
        <w:t>Прием входящих ТК</w:t>
      </w:r>
      <w:bookmarkEnd w:id="13"/>
    </w:p>
    <w:p>
      <w:pPr>
        <w:pStyle w:val="Style14"/>
        <w:rPr/>
      </w:pPr>
      <w:r>
        <w:rPr/>
        <w:t xml:space="preserve">В группе </w:t>
      </w:r>
      <w:r>
        <w:rPr>
          <w:b/>
          <w:bCs/>
        </w:rPr>
        <w:t>«Прием входящих ТК»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__RefNumPara__1418_1107146394_Copy_1_Cop \n \h </w:instrText>
      </w:r>
      <w:r>
        <w:rPr/>
        <w:fldChar w:fldCharType="separate"/>
      </w:r>
      <w:r>
        <w:rPr/>
        <w:t>Рисунок 1.5</w:t>
      </w:r>
      <w:r>
        <w:rPr/>
        <w:fldChar w:fldCharType="end"/>
      </w:r>
      <w:r>
        <w:rPr/>
        <w:t xml:space="preserve">) задаются настройки, указанные в </w:t>
      </w:r>
      <w:r>
        <w:rPr/>
        <w:fldChar w:fldCharType="begin"/>
      </w:r>
      <w:r>
        <w:rPr/>
        <w:instrText xml:space="preserve"> REF __RefNumPara__6673_1107146394_Copy_1 \n \h </w:instrText>
      </w:r>
      <w:r>
        <w:rPr/>
        <w:fldChar w:fldCharType="separate"/>
      </w:r>
      <w:r>
        <w:rPr/>
        <w:t>Таблица 3</w:t>
      </w:r>
      <w:r>
        <w:rPr/>
        <w:fldChar w:fldCharType="end"/>
      </w:r>
      <w:r>
        <w:rPr/>
        <w:t>.</w:t>
      </w:r>
    </w:p>
    <w:p>
      <w:pPr>
        <w:pStyle w:val="Style20"/>
        <w:rPr/>
      </w:pPr>
      <w:r>
        <w:rPr/>
        <w:drawing>
          <wp:inline distT="0" distB="0" distL="0" distR="0">
            <wp:extent cx="6210300" cy="2463800"/>
            <wp:effectExtent l="0" t="0" r="0" b="0"/>
            <wp:docPr id="8" name="Изображение5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5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r>
        <w:rPr/>
        <w:t>. Группа настроек «Прием входящих ТК»</w:t>
      </w:r>
    </w:p>
    <w:p>
      <w:pPr>
        <w:pStyle w:val="Style21"/>
        <w:numPr>
          <w:ilvl w:val="0"/>
          <w:numId w:val="9"/>
        </w:numPr>
        <w:ind w:firstLine="709"/>
        <w:rPr/>
      </w:pPr>
      <w:bookmarkStart w:id="14" w:name="__RefNumPara__6673_1107146394_Copy_1"/>
      <w:bookmarkEnd w:id="14"/>
      <w:r>
        <w:rPr/>
        <w:t>. Перечень настроек группы «Прием входящих ТК»</w:t>
      </w:r>
    </w:p>
    <w:tbl>
      <w:tblPr>
        <w:tblW w:w="9600" w:type="dxa"/>
        <w:jc w:val="left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080"/>
        <w:gridCol w:w="5519"/>
      </w:tblGrid>
      <w:tr>
        <w:trPr>
          <w:trHeight w:val="740" w:hRule="atLeast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Поле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Назначение</w:t>
            </w:r>
          </w:p>
        </w:tc>
      </w:tr>
      <w:tr>
        <w:trPr>
          <w:trHeight w:val="290" w:hRule="atLeast"/>
        </w:trPr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«Период опроса входной очереди МЭДО (раз/мин.)»</w:t>
            </w:r>
          </w:p>
        </w:tc>
        <w:tc>
          <w:tcPr>
            <w:tcW w:w="5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Частота обращения к папкам МЭДО для поиска новых транспортных контейнеров, поступивших по каналу МЭДО</w:t>
            </w:r>
          </w:p>
        </w:tc>
      </w:tr>
      <w:tr>
        <w:trPr>
          <w:trHeight w:val="290" w:hRule="atLeast"/>
        </w:trPr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«Время ожидания квитанции о приеме ТК в ЦХЭД (мин.)»</w:t>
            </w:r>
          </w:p>
        </w:tc>
        <w:tc>
          <w:tcPr>
            <w:tcW w:w="5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FF0000"/>
              </w:rPr>
            </w:pPr>
            <w:r>
              <w:rPr>
                <w:color w:val="000000"/>
              </w:rPr>
              <w:t>Период времени, в течение которого Подсистема ожидает транспортную квитанцию из подсистемы «ЦХЭД» (параметр на данный момент не используется)</w:t>
            </w:r>
          </w:p>
        </w:tc>
      </w:tr>
      <w:tr>
        <w:trPr>
          <w:trHeight w:val="290" w:hRule="atLeast"/>
        </w:trPr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«Запретить прием ЭД с невалидной ЭП»</w:t>
            </w:r>
          </w:p>
        </w:tc>
        <w:tc>
          <w:tcPr>
            <w:tcW w:w="5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При отсутствии запрета Подсистема принимает документы с неактуальной или не соответствующей требованиям действующего законодательства электронной подписью (ЭП).</w:t>
            </w:r>
          </w:p>
        </w:tc>
      </w:tr>
      <w:tr>
        <w:trPr>
          <w:trHeight w:val="290" w:hRule="atLeast"/>
        </w:trPr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«Источник ЭД для входящих контейнеров»</w:t>
            </w:r>
          </w:p>
        </w:tc>
        <w:tc>
          <w:tcPr>
            <w:tcW w:w="5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</w:rPr>
            </w:pPr>
            <w:r>
              <w:rPr>
                <w:color w:val="000000"/>
              </w:rPr>
              <w:t>Наименование источника поступления документов, который будет автоматически указан в карточках документов в случае:</w:t>
            </w:r>
          </w:p>
          <w:p>
            <w:pPr>
              <w:pStyle w:val="Style18"/>
              <w:numPr>
                <w:ilvl w:val="0"/>
                <w:numId w:val="4"/>
              </w:numPr>
              <w:rPr/>
            </w:pPr>
            <w:r>
              <w:rPr/>
              <w:t>если документы поступили по каналу МЭДО;</w:t>
            </w:r>
          </w:p>
          <w:p>
            <w:pPr>
              <w:pStyle w:val="Style18"/>
              <w:numPr>
                <w:ilvl w:val="0"/>
                <w:numId w:val="4"/>
              </w:numPr>
              <w:rPr/>
            </w:pPr>
            <w:r>
              <w:rPr/>
              <w:t xml:space="preserve">если документы загружены путем импорта из файла </w:t>
            </w:r>
            <w:r>
              <w:rPr>
                <w:lang w:val="en-US"/>
              </w:rPr>
              <w:t>CSV</w:t>
            </w:r>
            <w:r>
              <w:rPr/>
              <w:t xml:space="preserve"> или загружены по </w:t>
            </w:r>
            <w:r>
              <w:rPr>
                <w:lang w:val="en-US"/>
              </w:rPr>
              <w:t>API</w:t>
            </w:r>
            <w:r>
              <w:rPr/>
              <w:t>.</w:t>
            </w:r>
          </w:p>
          <w:p>
            <w:pPr>
              <w:pStyle w:val="Style17"/>
              <w:rPr>
                <w:color w:val="000000"/>
              </w:rPr>
            </w:pPr>
            <w:r>
              <w:rPr>
                <w:color w:val="000000"/>
              </w:rPr>
              <w:t xml:space="preserve">Выбор источника осуществляется из выпадающего списка значений справочника </w:t>
            </w:r>
            <w:r>
              <w:rPr>
                <w:b/>
                <w:bCs/>
                <w:color w:val="000000"/>
              </w:rPr>
              <w:t>«Источники»</w:t>
            </w:r>
            <w:r>
              <w:rPr>
                <w:color w:val="000000"/>
              </w:rPr>
              <w:t xml:space="preserve"> (подробнее в разделе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__RefNumPara__122452_1253639267 \n \h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2.1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REF __RefNumPara__122452_1253639267 \h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</w:t>
            </w:r>
          </w:p>
        </w:tc>
      </w:tr>
      <w:tr>
        <w:trPr>
          <w:trHeight w:val="290" w:hRule="atLeast"/>
        </w:trPr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«Период обновления справочника типов описательных атрибутов из Источника ЭД (мин.)»</w:t>
            </w:r>
          </w:p>
        </w:tc>
        <w:tc>
          <w:tcPr>
            <w:tcW w:w="5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 xml:space="preserve">Частота запрашивания Подсистемой новых справочников типов атрибутов для электронных документов из источника ЭД </w:t>
            </w:r>
            <w:r>
              <w:rPr>
                <w:color w:val="000000"/>
              </w:rPr>
              <w:t>(параметр на данный момент не используется)</w:t>
            </w:r>
          </w:p>
        </w:tc>
      </w:tr>
    </w:tbl>
    <w:p>
      <w:pPr>
        <w:pStyle w:val="21"/>
        <w:rPr/>
      </w:pPr>
      <w:bookmarkStart w:id="15" w:name="__RefNumPara__9447_1107146394"/>
      <w:bookmarkStart w:id="16" w:name="_Toc184909296"/>
      <w:bookmarkEnd w:id="15"/>
      <w:r>
        <w:rPr/>
        <w:t>Продление юридической значимости</w:t>
      </w:r>
      <w:bookmarkEnd w:id="16"/>
    </w:p>
    <w:p>
      <w:pPr>
        <w:pStyle w:val="Style14"/>
        <w:rPr/>
      </w:pPr>
      <w:r>
        <w:rPr/>
        <w:t xml:space="preserve">В группе </w:t>
      </w:r>
      <w:r>
        <w:rPr>
          <w:b/>
          <w:bCs/>
        </w:rPr>
        <w:t>«Продление юридической значимости»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__RefNumPara__1418_1107146394_Copy_1_Cop \n \h </w:instrText>
      </w:r>
      <w:r>
        <w:rPr/>
        <w:fldChar w:fldCharType="separate"/>
      </w:r>
      <w:r>
        <w:rPr/>
        <w:t>Рисунок 1.</w:t>
      </w:r>
      <w:r>
        <w:rPr/>
        <w:fldChar w:fldCharType="end"/>
      </w:r>
      <w:r>
        <w:rPr/>
        <w:t xml:space="preserve">6) задаются настройки, указанные в </w:t>
      </w:r>
      <w:r>
        <w:rPr/>
        <w:fldChar w:fldCharType="begin"/>
      </w:r>
      <w:r>
        <w:rPr/>
        <w:instrText xml:space="preserve"> REF __RefNumPara__6673_1107146394_Copy_1_Cop \n \h </w:instrText>
      </w:r>
      <w:r>
        <w:rPr/>
        <w:fldChar w:fldCharType="separate"/>
      </w:r>
      <w:r>
        <w:rPr/>
        <w:t>Таблица 4</w:t>
      </w:r>
      <w:r>
        <w:rPr/>
        <w:fldChar w:fldCharType="end"/>
      </w:r>
      <w:r>
        <w:rPr/>
        <w:t>.</w:t>
      </w:r>
    </w:p>
    <w:p>
      <w:pPr>
        <w:pStyle w:val="Style20"/>
        <w:rPr/>
      </w:pPr>
      <w:r>
        <w:rPr/>
        <w:drawing>
          <wp:inline distT="0" distB="0" distL="0" distR="0">
            <wp:extent cx="6210300" cy="2088515"/>
            <wp:effectExtent l="0" t="0" r="0" b="0"/>
            <wp:docPr id="9" name="Изображение5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5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r>
        <w:rPr/>
        <w:t>. Группа настроек «Продление юридической значимости»</w:t>
      </w:r>
    </w:p>
    <w:p>
      <w:pPr>
        <w:pStyle w:val="Style21"/>
        <w:numPr>
          <w:ilvl w:val="0"/>
          <w:numId w:val="9"/>
        </w:numPr>
        <w:ind w:firstLine="709"/>
        <w:rPr/>
      </w:pPr>
      <w:r>
        <w:rPr/>
        <w:t>. Перечень настроек группы «Продление юридической значимости»</w:t>
      </w:r>
    </w:p>
    <w:tbl>
      <w:tblPr>
        <w:tblW w:w="9600" w:type="dxa"/>
        <w:jc w:val="left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300"/>
        <w:gridCol w:w="6299"/>
      </w:tblGrid>
      <w:tr>
        <w:trPr>
          <w:trHeight w:val="740" w:hRule="atLeast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Поле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Назначение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«Количество дней до истечения срока действия сертификата подписи АК»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Настройка позволяет устанавливать количество дней до окончания периода действительности сертификата электронной подписи архивного контейнера, за которое необходимо производить продление юридической значимости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«Период проверки целостности АК»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</w:rPr>
            </w:pPr>
            <w:r>
              <w:rPr>
                <w:color w:val="000000"/>
              </w:rPr>
              <w:t>Периодичность проверки Подсистемой целостност</w:t>
            </w:r>
            <w:r>
              <w:rPr/>
              <w:t>и архивных контейнеров, хранящихся в Подсистеме.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«Системная подпись»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Обезличенная электронная подпись Оператора ГИС «Платформа ЦХЭД», используемая Подсистемой для подписания ТК при взаимодействии с Подсистемой ЦХЭД и используемая для автоматического продления юридической значимости архивных транспортных контейнеров, хранящихся в Подсистеме, а также для подписания транспортных контейнеров, передаваемых во временное хранилище или в ЦХЭД. После установки подписи в системном параметре подпись должна быть привязана к пользователю (администратору) в карточке пользователя в блоке «Сертификаты» с назначениями «ЭП ТК», «ЭП АК», «ЭП на хеш квитанции»</w:t>
            </w:r>
          </w:p>
        </w:tc>
      </w:tr>
    </w:tbl>
    <w:p>
      <w:pPr>
        <w:pStyle w:val="21"/>
        <w:rPr/>
      </w:pPr>
      <w:bookmarkStart w:id="17" w:name="_Toc184909297"/>
      <w:r>
        <w:rPr/>
        <w:t>Справочники</w:t>
      </w:r>
      <w:bookmarkEnd w:id="17"/>
    </w:p>
    <w:p>
      <w:pPr>
        <w:pStyle w:val="Style14"/>
        <w:rPr/>
      </w:pPr>
      <w:r>
        <w:rPr/>
        <w:t xml:space="preserve">В группе </w:t>
      </w:r>
      <w:r>
        <w:rPr>
          <w:b/>
          <w:bCs/>
        </w:rPr>
        <w:t>«Справочники»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__RefNumPara__1418_1107146394_Copy_1_Cop \n \h </w:instrText>
      </w:r>
      <w:r>
        <w:rPr/>
        <w:fldChar w:fldCharType="separate"/>
      </w:r>
      <w:r>
        <w:rPr/>
        <w:t>Рисунок 1.</w:t>
      </w:r>
      <w:r>
        <w:rPr/>
        <w:fldChar w:fldCharType="end"/>
      </w:r>
      <w:r>
        <w:rPr/>
        <w:t xml:space="preserve">7) задаются настройки, указанные в </w:t>
      </w:r>
      <w:r>
        <w:rPr/>
        <w:fldChar w:fldCharType="begin"/>
      </w:r>
      <w:r>
        <w:rPr/>
        <w:instrText xml:space="preserve"> REF __RefNumPara__6673_1107146394_Copy_1_Cop \n \h </w:instrText>
      </w:r>
      <w:r>
        <w:rPr/>
        <w:fldChar w:fldCharType="separate"/>
      </w:r>
      <w:r>
        <w:rPr/>
        <w:t xml:space="preserve">Таблица </w:t>
      </w:r>
      <w:r>
        <w:rPr/>
        <w:fldChar w:fldCharType="end"/>
      </w:r>
      <w:r>
        <w:rPr/>
        <w:t>5.</w:t>
      </w:r>
    </w:p>
    <w:p>
      <w:pPr>
        <w:pStyle w:val="Style20"/>
        <w:rPr/>
      </w:pPr>
      <w:r>
        <w:rPr/>
        <w:drawing>
          <wp:inline distT="0" distB="0" distL="0" distR="0">
            <wp:extent cx="6210300" cy="979805"/>
            <wp:effectExtent l="0" t="0" r="0" b="0"/>
            <wp:docPr id="10" name="Изображение6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6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r>
        <w:rPr>
          <w:lang w:val="en-US"/>
        </w:rPr>
        <w:t>. Группа настроек «</w:t>
      </w:r>
      <w:r>
        <w:rPr/>
        <w:t>Справочники</w:t>
      </w:r>
      <w:r>
        <w:rPr>
          <w:lang w:val="en-US"/>
        </w:rPr>
        <w:t>»</w:t>
      </w:r>
    </w:p>
    <w:p>
      <w:pPr>
        <w:pStyle w:val="Style21"/>
        <w:numPr>
          <w:ilvl w:val="0"/>
          <w:numId w:val="9"/>
        </w:numPr>
        <w:ind w:firstLine="709"/>
        <w:rPr/>
      </w:pPr>
      <w:r>
        <w:rPr/>
        <w:t>. Перечень настроек группы «Справочники»</w:t>
      </w:r>
    </w:p>
    <w:tbl>
      <w:tblPr>
        <w:tblW w:w="9600" w:type="dxa"/>
        <w:jc w:val="left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604"/>
        <w:gridCol w:w="6995"/>
      </w:tblGrid>
      <w:tr>
        <w:trPr>
          <w:trHeight w:val="740" w:hRule="atLeast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Поле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Назначение</w:t>
            </w:r>
          </w:p>
        </w:tc>
      </w:tr>
      <w:tr>
        <w:trPr>
          <w:trHeight w:val="290" w:hRule="atLeast"/>
        </w:trPr>
        <w:tc>
          <w:tcPr>
            <w:tcW w:w="2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«Архив»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Наименование архивного учреждения, осуществляющее комплектование, учет, хранение и использование документов Архивного фонда РФ, передаваемых из организации в подсистему «ЦХЭД».</w:t>
            </w:r>
          </w:p>
          <w:p>
            <w:pPr>
              <w:pStyle w:val="Style17"/>
              <w:rPr/>
            </w:pPr>
            <w:r>
              <w:rPr/>
            </w:r>
          </w:p>
          <w:p>
            <w:pPr>
              <w:pStyle w:val="Style17"/>
              <w:rPr/>
            </w:pPr>
            <w:r>
              <w:rPr/>
              <w:t>В данном поле необходимо выбрать Архив, который будет использоваться по умолчанию при создании сводных описей дел и при отправке номенклатуры дел в ЦХЭД.</w:t>
            </w:r>
          </w:p>
          <w:p>
            <w:pPr>
              <w:pStyle w:val="Style17"/>
              <w:rPr/>
            </w:pPr>
            <w:r>
              <w:rPr/>
            </w:r>
          </w:p>
          <w:p>
            <w:pPr>
              <w:pStyle w:val="Style17"/>
              <w:rPr/>
            </w:pPr>
            <w:r>
              <w:rPr/>
              <w:t xml:space="preserve">Перечень доступных для выбора значений содержится в справочнике НСИ </w:t>
            </w:r>
            <w:r>
              <w:rPr>
                <w:b/>
                <w:bCs/>
              </w:rPr>
              <w:t xml:space="preserve">«Архивы» </w:t>
            </w:r>
            <w:r>
              <w:rPr/>
              <w:t xml:space="preserve">(см. раздел </w:t>
            </w:r>
            <w:r>
              <w:rPr/>
              <w:fldChar w:fldCharType="begin"/>
            </w:r>
            <w:r>
              <w:rPr/>
              <w:instrText xml:space="preserve"> REF __RefNumPara__122454_1253639267 \n \h </w:instrText>
            </w:r>
            <w:r>
              <w:rPr/>
              <w:fldChar w:fldCharType="separate"/>
            </w:r>
            <w:r>
              <w:rPr/>
              <w:t>2.2</w:t>
            </w:r>
            <w:r>
              <w:rPr/>
              <w:fldChar w:fldCharType="end"/>
            </w:r>
            <w:r>
              <w:rPr/>
              <w:t xml:space="preserve"> </w:t>
            </w:r>
            <w:r>
              <w:rPr/>
              <w:fldChar w:fldCharType="begin"/>
            </w:r>
            <w:r>
              <w:rPr/>
              <w:instrText xml:space="preserve"> REF __RefNumPara__122454_1253639267 \h </w:instrText>
            </w:r>
            <w:r>
              <w:rPr/>
              <w:fldChar w:fldCharType="separate"/>
            </w:r>
            <w:r>
              <w:rPr/>
            </w:r>
            <w:r>
              <w:rPr/>
              <w:fldChar w:fldCharType="end"/>
            </w:r>
            <w:r>
              <w:rPr/>
              <w:t>)</w:t>
            </w:r>
          </w:p>
        </w:tc>
      </w:tr>
      <w:tr>
        <w:trPr>
          <w:trHeight w:val="2837" w:hRule="atLeast"/>
        </w:trPr>
        <w:tc>
          <w:tcPr>
            <w:tcW w:w="2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«Фонд»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Фонд в Архиве, источником комплектования которого является текущая ОИК.</w:t>
            </w:r>
          </w:p>
          <w:p>
            <w:pPr>
              <w:pStyle w:val="Style17"/>
              <w:rPr/>
            </w:pPr>
            <w:r>
              <w:rPr/>
            </w:r>
          </w:p>
          <w:p>
            <w:pPr>
              <w:pStyle w:val="Style17"/>
              <w:rPr/>
            </w:pPr>
            <w:r>
              <w:rPr/>
              <w:t xml:space="preserve">В данном поле необходимо выбрать Фонд, который будет использоваться по умолчанию при создании сводных описей дел и при отправке номенклатуры дел в ЦХЭД. Перечень доступных для выбора значений содержится в справочнике НСИ </w:t>
            </w:r>
            <w:r>
              <w:rPr>
                <w:b/>
                <w:bCs/>
              </w:rPr>
              <w:t xml:space="preserve">«Фонды» </w:t>
            </w:r>
            <w:r>
              <w:rPr/>
              <w:t xml:space="preserve">(см. раздел </w:t>
            </w:r>
            <w:r>
              <w:rPr/>
              <w:fldChar w:fldCharType="begin"/>
            </w:r>
            <w:r>
              <w:rPr/>
              <w:instrText xml:space="preserve"> REF __RefNumPara__122617_1253639267 \n \h </w:instrText>
            </w:r>
            <w:r>
              <w:rPr/>
              <w:fldChar w:fldCharType="separate"/>
            </w:r>
            <w:r>
              <w:rPr/>
              <w:t>2.3</w:t>
            </w:r>
            <w:r>
              <w:rPr/>
              <w:fldChar w:fldCharType="end"/>
            </w:r>
            <w:r>
              <w:rPr/>
              <w:t xml:space="preserve"> </w:t>
            </w:r>
            <w:r>
              <w:rPr/>
              <w:fldChar w:fldCharType="begin"/>
            </w:r>
            <w:r>
              <w:rPr/>
              <w:instrText xml:space="preserve"> REF __RefNumPara__122617_1253639267 \h </w:instrText>
            </w:r>
            <w:r>
              <w:rPr/>
              <w:fldChar w:fldCharType="separate"/>
            </w:r>
            <w:r>
              <w:rPr/>
            </w:r>
            <w:r>
              <w:rPr/>
              <w:fldChar w:fldCharType="end"/>
            </w:r>
            <w:r>
              <w:rPr/>
              <w:t>)</w:t>
            </w:r>
          </w:p>
        </w:tc>
      </w:tr>
    </w:tbl>
    <w:p>
      <w:pPr>
        <w:pStyle w:val="21"/>
        <w:rPr/>
      </w:pPr>
      <w:bookmarkStart w:id="18" w:name="_Toc184909298"/>
      <w:r>
        <w:rPr/>
        <w:t>Модуль СКЗИ</w:t>
      </w:r>
      <w:bookmarkEnd w:id="18"/>
    </w:p>
    <w:p>
      <w:pPr>
        <w:pStyle w:val="Style14"/>
        <w:rPr/>
      </w:pPr>
      <w:r>
        <w:rPr/>
        <w:t xml:space="preserve">Группа настроек </w:t>
      </w:r>
      <w:r>
        <w:rPr>
          <w:b/>
          <w:bCs/>
        </w:rPr>
        <w:t>«Модуль СКЗИ»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__RefNumPara__1418_1107146394_Copy_1_Cop \n \h </w:instrText>
      </w:r>
      <w:r>
        <w:rPr/>
        <w:fldChar w:fldCharType="separate"/>
      </w:r>
      <w:r>
        <w:rPr/>
        <w:t>Рисунок 1.</w:t>
      </w:r>
      <w:r>
        <w:rPr/>
        <w:fldChar w:fldCharType="end"/>
      </w:r>
      <w:r>
        <w:rPr/>
        <w:t>8) имеют предустановленное значения и заполняются глобальным администратором в момент создания инстанции ОИК в Подсистеме. Параметры приводятся справочно и не подлежат самостоятельному редактированию локальным администратором.</w:t>
      </w:r>
    </w:p>
    <w:p>
      <w:pPr>
        <w:pStyle w:val="Style20"/>
        <w:rPr>
          <w:lang w:val="en-US"/>
        </w:rPr>
      </w:pPr>
      <w:r>
        <w:rPr/>
        <w:drawing>
          <wp:inline distT="0" distB="0" distL="0" distR="0">
            <wp:extent cx="6210300" cy="2451100"/>
            <wp:effectExtent l="0" t="0" r="0" b="0"/>
            <wp:docPr id="11" name="Изображение6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6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r>
        <w:rPr>
          <w:lang w:val="en-US"/>
        </w:rPr>
        <w:t>. Группа настроек «Модуль СКЗИ»</w:t>
      </w:r>
    </w:p>
    <w:p>
      <w:pPr>
        <w:pStyle w:val="Style14"/>
        <w:rPr/>
      </w:pPr>
      <w:r>
        <w:rPr/>
        <w:t xml:space="preserve">В группе </w:t>
      </w:r>
      <w:r>
        <w:rPr>
          <w:b/>
          <w:bCs/>
        </w:rPr>
        <w:t>«Модуль СКЗИ»</w:t>
      </w:r>
      <w:r>
        <w:rPr/>
        <w:t xml:space="preserve"> указаны настройки, описанные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__RefNumPara__6673_1107146394_Copy_1_Cop \n \h </w:instrText>
      </w:r>
      <w:r>
        <w:rPr>
          <w:lang w:val="en-US"/>
        </w:rPr>
        <w:fldChar w:fldCharType="separate"/>
      </w:r>
      <w:r>
        <w:rPr>
          <w:lang w:val="en-US"/>
        </w:rPr>
        <w:t xml:space="preserve">Таблице 6 </w:t>
      </w:r>
      <w:r>
        <w:rPr>
          <w:lang w:val="en-US"/>
        </w:rPr>
        <w:fldChar w:fldCharType="end"/>
      </w:r>
      <w:r>
        <w:rPr/>
        <w:t>.</w:t>
      </w:r>
    </w:p>
    <w:p>
      <w:pPr>
        <w:pStyle w:val="Style21"/>
        <w:numPr>
          <w:ilvl w:val="0"/>
          <w:numId w:val="9"/>
        </w:numPr>
        <w:ind w:firstLine="709"/>
        <w:rPr/>
      </w:pPr>
      <w:r>
        <w:rPr/>
        <w:t>. Перечень настроек группы «Модуль СКЗИ»</w:t>
      </w:r>
    </w:p>
    <w:tbl>
      <w:tblPr>
        <w:tblW w:w="9600" w:type="dxa"/>
        <w:jc w:val="left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300"/>
        <w:gridCol w:w="6299"/>
      </w:tblGrid>
      <w:tr>
        <w:trPr>
          <w:trHeight w:val="740" w:hRule="atLeast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Поле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Назначение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lang w:val="en-US"/>
              </w:rPr>
              <w:t xml:space="preserve">VipNet </w:t>
            </w:r>
            <w:r>
              <w:rPr>
                <w:b/>
                <w:bCs/>
              </w:rPr>
              <w:t>Адрес»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URL программно-аппаратного комплекса ViPNet PKI Service с указанием протокола подключения, хоста, порта и пути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lang w:val="en-US"/>
              </w:rPr>
              <w:t xml:space="preserve">VipNet </w:t>
            </w:r>
            <w:r>
              <w:rPr>
                <w:b/>
                <w:bCs/>
              </w:rPr>
              <w:t>Логин»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Логин пользователя программно-аппаратного комплекса ViPNet PKI Service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lang w:val="en-US"/>
              </w:rPr>
              <w:t xml:space="preserve">VipNet </w:t>
            </w:r>
            <w:r>
              <w:rPr>
                <w:b/>
                <w:bCs/>
              </w:rPr>
              <w:t>Пароль»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Пароль указанного пользователя программно-аппаратного комплекса ViPNet PKI Service</w:t>
            </w:r>
          </w:p>
        </w:tc>
      </w:tr>
    </w:tbl>
    <w:p>
      <w:pPr>
        <w:pStyle w:val="21"/>
        <w:rPr/>
      </w:pPr>
      <w:bookmarkStart w:id="19" w:name="_Toc184909299"/>
      <w:r>
        <w:rPr/>
        <w:t>Требования к паролям</w:t>
      </w:r>
      <w:bookmarkEnd w:id="19"/>
    </w:p>
    <w:p>
      <w:pPr>
        <w:pStyle w:val="Style14"/>
        <w:rPr/>
      </w:pPr>
      <w:r>
        <w:rPr/>
        <w:t xml:space="preserve">В группе </w:t>
      </w:r>
      <w:r>
        <w:rPr>
          <w:b/>
          <w:bCs/>
        </w:rPr>
        <w:t>«Требования к паролям»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__RefNumPara__1418_1107146394_Copy_1_Cop \n \h </w:instrText>
      </w:r>
      <w:r>
        <w:rPr/>
        <w:fldChar w:fldCharType="separate"/>
      </w:r>
      <w:r>
        <w:rPr/>
        <w:t>Рисунок 1.</w:t>
      </w:r>
      <w:r>
        <w:rPr/>
        <w:fldChar w:fldCharType="end"/>
      </w:r>
      <w:r>
        <w:rPr/>
        <w:t xml:space="preserve">9) задаются настройки требования к паролям пользователей, указанные в </w:t>
      </w:r>
      <w:r>
        <w:rPr/>
        <w:fldChar w:fldCharType="begin"/>
      </w:r>
      <w:r>
        <w:rPr/>
        <w:instrText xml:space="preserve"> REF __RefNumPara__6673_1107146394_Copy_1_Cop \n \h </w:instrText>
      </w:r>
      <w:r>
        <w:rPr/>
        <w:fldChar w:fldCharType="separate"/>
      </w:r>
      <w:r>
        <w:rPr/>
        <w:t>Таблица 7</w:t>
      </w:r>
      <w:r>
        <w:rPr/>
        <w:fldChar w:fldCharType="end"/>
      </w:r>
      <w:r>
        <w:rPr/>
        <w:t>.</w:t>
      </w:r>
    </w:p>
    <w:p>
      <w:pPr>
        <w:pStyle w:val="Style20"/>
        <w:rPr/>
      </w:pPr>
      <w:r>
        <w:rPr/>
        <w:drawing>
          <wp:inline distT="0" distB="0" distL="0" distR="0">
            <wp:extent cx="6210300" cy="5410200"/>
            <wp:effectExtent l="0" t="0" r="0" b="0"/>
            <wp:docPr id="12" name="Изображение6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6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r>
        <w:rPr/>
        <w:t>. Группа настроек «Требования к паролям»</w:t>
      </w:r>
    </w:p>
    <w:p>
      <w:pPr>
        <w:pStyle w:val="Style21"/>
        <w:numPr>
          <w:ilvl w:val="0"/>
          <w:numId w:val="9"/>
        </w:numPr>
        <w:ind w:firstLine="709"/>
        <w:rPr/>
      </w:pPr>
      <w:r>
        <w:rPr/>
        <w:t>. Перечень настроек группы «Требования к паролям»</w:t>
      </w:r>
    </w:p>
    <w:tbl>
      <w:tblPr>
        <w:tblW w:w="9600" w:type="dxa"/>
        <w:jc w:val="left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794"/>
        <w:gridCol w:w="5805"/>
      </w:tblGrid>
      <w:tr>
        <w:trPr>
          <w:tblHeader w:val="true"/>
          <w:trHeight w:val="740" w:hRule="atLeast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Поле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Назначение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«Количество символов»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Минимальное количество символов, допустимое в пароле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«Нижний регистр»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Необходимость использования в пароле строчных букв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«Верхний регистр»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Необходимость использования в пароле заглавных букв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«Цифры»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Необходимость использования в пароле цифр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«Специальные символы»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Необходимость использования в пароле специальных символов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«Максимальное количество дней действия пароля»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Период, по истечении которого пользователь обязан сменить пароль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«Минимальное количество дней действия пароля»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Срок, в течении которого пароль не может быть изменен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«Запрет на использование пользователями определенного оператором числа последних использованных паролей при создании новых паролей»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Количество последних установленных пользователем паролей, использование которых будет запрещено при создании нового пароля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«Количество минут блокировки пользователя при неуспешной попытке аутентификации»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Период блокировки аккаунта после неуспешных попыток ввода пароля</w:t>
            </w:r>
          </w:p>
        </w:tc>
      </w:tr>
      <w:tr>
        <w:trPr>
          <w:trHeight w:val="290" w:hRule="atLeast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«Количество сохраненных использованных паролей»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Количество последних использованных паролей пользователя, которые сохраняются в Подсистеме</w:t>
            </w:r>
          </w:p>
        </w:tc>
      </w:tr>
    </w:tbl>
    <w:p>
      <w:pPr>
        <w:pStyle w:val="21"/>
        <w:rPr/>
      </w:pPr>
      <w:bookmarkStart w:id="20" w:name="_Toc184909300"/>
      <w:r>
        <w:rPr/>
        <w:t>Почтовый сервер</w:t>
      </w:r>
      <w:bookmarkEnd w:id="20"/>
    </w:p>
    <w:p>
      <w:pPr>
        <w:pStyle w:val="Style14"/>
        <w:rPr/>
      </w:pPr>
      <w:r>
        <w:rPr/>
        <w:t xml:space="preserve">Группа </w:t>
      </w:r>
      <w:r>
        <w:rPr>
          <w:b/>
          <w:bCs/>
        </w:rPr>
        <w:t>«Почтовый сервер»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__RefNumPara__1418_1107146394_Copy_1_Cop \n \h </w:instrText>
      </w:r>
      <w:r>
        <w:rPr/>
        <w:fldChar w:fldCharType="separate"/>
      </w:r>
      <w:r>
        <w:rPr/>
        <w:t>Рисунок 1.10</w:t>
      </w:r>
      <w:r>
        <w:rPr/>
        <w:fldChar w:fldCharType="end"/>
      </w:r>
      <w:r>
        <w:rPr/>
        <w:t xml:space="preserve">) содержит справочную информацию по используемому в Подсистеме почтовому серверу. Значения параметров недоступны для редактирования и задаются  автоматически при создании инстанции ОИК в Подсистеме. </w:t>
      </w:r>
    </w:p>
    <w:p>
      <w:pPr>
        <w:pStyle w:val="Style14"/>
        <w:rPr/>
      </w:pPr>
      <w:r>
        <w:rPr/>
        <w:t xml:space="preserve">Подробнее о параметрах группы </w:t>
      </w:r>
      <w:r>
        <w:rPr>
          <w:b/>
          <w:bCs/>
        </w:rPr>
        <w:t xml:space="preserve">«Почтовый сервер» </w:t>
      </w:r>
      <w:r>
        <w:rPr/>
        <w:t xml:space="preserve">указано в </w:t>
      </w:r>
      <w:r>
        <w:rPr/>
        <w:fldChar w:fldCharType="begin"/>
      </w:r>
      <w:r>
        <w:rPr/>
        <w:instrText xml:space="preserve"> REF __RefNumPara__6673_1107146394_Copy_1_Cop \n \h </w:instrText>
      </w:r>
      <w:r>
        <w:rPr/>
        <w:fldChar w:fldCharType="separate"/>
      </w:r>
      <w:r>
        <w:rPr/>
        <w:t>Таблица 8</w:t>
      </w:r>
      <w:r>
        <w:rPr/>
        <w:fldChar w:fldCharType="end"/>
      </w:r>
      <w:r>
        <w:rPr/>
        <w:t xml:space="preserve">. </w:t>
      </w:r>
    </w:p>
    <w:p>
      <w:pPr>
        <w:pStyle w:val="Style14"/>
        <w:rPr/>
      </w:pPr>
      <w:r>
        <w:rPr>
          <w:szCs w:val="28"/>
          <w:lang w:eastAsia="ru-RU"/>
        </w:rPr>
        <w:t xml:space="preserve"> </w:t>
      </w:r>
      <w:r>
        <w:rPr/>
        <w:drawing>
          <wp:inline distT="0" distB="0" distL="0" distR="0">
            <wp:extent cx="6210300" cy="4544060"/>
            <wp:effectExtent l="0" t="0" r="0" b="0"/>
            <wp:docPr id="13" name="Изображение6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63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4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bookmarkStart w:id="21" w:name="__RefNumPara__1418_1107146394_Copy_1_Cop"/>
      <w:bookmarkEnd w:id="21"/>
      <w:r>
        <w:rPr>
          <w:lang w:val="en-US"/>
        </w:rPr>
        <w:t>. Группа настроек «</w:t>
      </w:r>
      <w:r>
        <w:rPr/>
        <w:t>Почтовый сервер</w:t>
      </w:r>
      <w:r>
        <w:rPr>
          <w:lang w:val="en-US"/>
        </w:rPr>
        <w:t>»</w:t>
      </w:r>
    </w:p>
    <w:p>
      <w:pPr>
        <w:pStyle w:val="Style21"/>
        <w:numPr>
          <w:ilvl w:val="0"/>
          <w:numId w:val="9"/>
        </w:numPr>
        <w:ind w:firstLine="709"/>
        <w:rPr/>
      </w:pPr>
      <w:bookmarkStart w:id="22" w:name="__RefNumPara__6673_1107146394_Copy_1_Cop"/>
      <w:bookmarkEnd w:id="22"/>
      <w:r>
        <w:rPr/>
        <w:t>. Перечень параметров группы «Почтовый сервер»</w:t>
      </w:r>
    </w:p>
    <w:tbl>
      <w:tblPr>
        <w:tblW w:w="9600" w:type="dxa"/>
        <w:jc w:val="left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300"/>
        <w:gridCol w:w="6299"/>
      </w:tblGrid>
      <w:tr>
        <w:trPr>
          <w:tblHeader w:val="true"/>
          <w:trHeight w:val="740" w:hRule="atLeast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Поле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rPr/>
            </w:pPr>
            <w:r>
              <w:rPr/>
              <w:t>Назначение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«SMTP хост»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Доменное имя почтового сервера для писем от МЭДО и подсистемы «ЦХЭД»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«SMTP логин»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Логин электронной почты для приёма сообщений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«SMTP электронная почта отправителя»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Электронная почта, привязанная к Подсистеме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«SMTP порт»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Порт для подключения к электронной почте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«SMTP пароль»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>Пароль электронной почты для приёма сообщений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«Версия tls»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 xml:space="preserve">Версия </w:t>
            </w:r>
            <w:r>
              <w:rPr>
                <w:lang w:val="en-US"/>
              </w:rPr>
              <w:t xml:space="preserve">TLS </w:t>
            </w:r>
            <w:r>
              <w:rPr/>
              <w:t>используемая Подсистемой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«Имя отправителя»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FF0000"/>
              </w:rPr>
            </w:pPr>
            <w:r>
              <w:rPr>
                <w:color w:val="000000"/>
              </w:rPr>
              <w:t>Подпись (наименование Подсистемы) при использовании почтовых отправлений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«Шифрование»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000000"/>
              </w:rPr>
            </w:pPr>
            <w:r>
              <w:rPr>
                <w:color w:val="000000"/>
              </w:rPr>
              <w:t>Тип шифрования, используемый в Подсистеме</w:t>
            </w:r>
          </w:p>
        </w:tc>
      </w:tr>
      <w:tr>
        <w:trPr>
          <w:trHeight w:val="290" w:hRule="atLeast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>
                <w:b/>
                <w:bCs/>
              </w:rPr>
            </w:pPr>
            <w:r>
              <w:rPr>
                <w:b/>
                <w:bCs/>
              </w:rPr>
              <w:t>«Время ожидания»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rPr>
                <w:color w:val="FF0000"/>
              </w:rPr>
            </w:pPr>
            <w:r>
              <w:rPr>
                <w:color w:val="000000"/>
              </w:rPr>
              <w:t>Максимальное время ожидания отправки</w:t>
            </w:r>
          </w:p>
        </w:tc>
      </w:tr>
    </w:tbl>
    <w:p>
      <w:pPr>
        <w:pStyle w:val="21"/>
        <w:rPr/>
      </w:pPr>
      <w:bookmarkStart w:id="23" w:name="_Toc184909301"/>
      <w:r>
        <w:rPr/>
        <w:t>Антивирус</w:t>
      </w:r>
      <w:bookmarkEnd w:id="23"/>
    </w:p>
    <w:p>
      <w:pPr>
        <w:pStyle w:val="Style14"/>
        <w:rPr/>
      </w:pPr>
      <w:r>
        <w:rPr/>
        <w:t xml:space="preserve">Настройка </w:t>
      </w:r>
      <w:r>
        <w:rPr>
          <w:b/>
          <w:bCs/>
        </w:rPr>
        <w:t>«Включить антивирус»</w:t>
      </w:r>
      <w:r>
        <w:rPr/>
        <w:t xml:space="preserve"> в группе </w:t>
      </w:r>
      <w:r>
        <w:rPr>
          <w:b/>
          <w:bCs/>
        </w:rPr>
        <w:t>«Антивирус»</w:t>
      </w:r>
      <w:r>
        <w:rPr/>
        <w:t xml:space="preserve"> позволяет включить/выключить проверку на вредоносный код антивирусом поступающих ТК и загружаемых в Подсистему файлов (</w:t>
      </w:r>
      <w:r>
        <w:rPr/>
        <w:fldChar w:fldCharType="begin"/>
      </w:r>
      <w:r>
        <w:rPr/>
        <w:instrText xml:space="preserve"> REF __RefNumPara__10831_1107146394 \n \h </w:instrText>
      </w:r>
      <w:r>
        <w:rPr/>
        <w:fldChar w:fldCharType="separate"/>
      </w:r>
      <w:r>
        <w:rPr/>
        <w:t>Рисунок 1.11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530350"/>
            <wp:effectExtent l="0" t="0" r="0" b="0"/>
            <wp:docPr id="14" name="Изображение6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64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bookmarkStart w:id="24" w:name="__RefNumPara__10831_1107146394"/>
      <w:bookmarkEnd w:id="24"/>
      <w:r>
        <w:rPr/>
        <w:t>. Группа настроек «Антивирус»</w:t>
      </w:r>
    </w:p>
    <w:p>
      <w:pPr>
        <w:pStyle w:val="Style14"/>
        <w:rPr/>
      </w:pPr>
      <w:r>
        <w:rPr/>
        <w:t>При включенном антивирусе при загрузке файлов (например, в карточки электронных документов) каждый файл будет проверен антивирусом и пользователь увидит в отдельном окне результат проверки (</w:t>
      </w:r>
      <w:r>
        <w:rPr/>
        <w:fldChar w:fldCharType="begin"/>
      </w:r>
      <w:r>
        <w:rPr/>
        <w:instrText xml:space="preserve"> REF __RefNumPara__38970_1837242160 \n \h </w:instrText>
      </w:r>
      <w:r>
        <w:rPr/>
        <w:fldChar w:fldCharType="separate"/>
      </w:r>
      <w:r>
        <w:rPr/>
        <w:t>Рисунок 1.12</w:t>
      </w:r>
      <w:r>
        <w:rPr/>
        <w:fldChar w:fldCharType="end"/>
      </w:r>
      <w:r>
        <w:rPr/>
        <w:t>).</w:t>
      </w:r>
    </w:p>
    <w:p>
      <w:pPr>
        <w:pStyle w:val="Style14"/>
        <w:rPr/>
      </w:pPr>
      <w:r>
        <w:rPr/>
        <w:drawing>
          <wp:inline distT="0" distB="0" distL="0" distR="0">
            <wp:extent cx="5226050" cy="2032635"/>
            <wp:effectExtent l="0" t="0" r="0" b="0"/>
            <wp:docPr id="15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bookmarkStart w:id="25" w:name="__RefNumPara__38970_1837242160"/>
      <w:bookmarkEnd w:id="25"/>
      <w:r>
        <w:rPr/>
        <w:t>. Результат проверки антивирусом при загрузке файла в Подсистему</w:t>
      </w:r>
    </w:p>
    <w:p>
      <w:pPr>
        <w:pStyle w:val="21"/>
        <w:rPr/>
      </w:pPr>
      <w:bookmarkStart w:id="26" w:name="_Toc184909302"/>
      <w:r>
        <w:rPr/>
        <w:t>Мониторинг документов на уничтожение</w:t>
      </w:r>
      <w:bookmarkEnd w:id="26"/>
    </w:p>
    <w:p>
      <w:pPr>
        <w:pStyle w:val="Style14"/>
        <w:rPr/>
      </w:pPr>
      <w:r>
        <w:rPr/>
        <w:t>Настройки группы «</w:t>
      </w:r>
      <w:r>
        <w:rPr>
          <w:b/>
          <w:bCs/>
        </w:rPr>
        <w:t>Мониторинг документов на уничтожение»</w:t>
      </w:r>
      <w:r>
        <w:rPr/>
        <w:t xml:space="preserve"> позволяют задать число, месяц и время, когда Подсистемой будет произведена автоматическая проверка базы дел и документов, находящихся на временном хранении, на предмет наступления срока уничтожения (</w:t>
      </w:r>
      <w:r>
        <w:rPr/>
        <w:fldChar w:fldCharType="begin"/>
      </w:r>
      <w:r>
        <w:rPr/>
        <w:instrText xml:space="preserve"> REF __RefNumPara__12086_1107146394 \n \h </w:instrText>
      </w:r>
      <w:r>
        <w:rPr/>
        <w:fldChar w:fldCharType="separate"/>
      </w:r>
      <w:r>
        <w:rPr/>
        <w:t>Рисунок 1.13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481455"/>
            <wp:effectExtent l="0" t="0" r="0" b="0"/>
            <wp:docPr id="16" name="Изображение6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65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bookmarkStart w:id="27" w:name="__RefNumPara__12086_1107146394"/>
      <w:bookmarkEnd w:id="27"/>
      <w:r>
        <w:rPr/>
        <w:t>. Группа настроек «Мониторинг документов на уничтожение»</w:t>
      </w:r>
    </w:p>
    <w:p>
      <w:pPr>
        <w:pStyle w:val="Style14"/>
        <w:rPr/>
      </w:pPr>
      <w:r>
        <w:rPr/>
        <w:t xml:space="preserve">Число и месяц задаётся по маске: </w:t>
      </w:r>
      <w:r>
        <w:rPr>
          <w:b/>
          <w:bCs/>
        </w:rPr>
        <w:t>ЧЧ/ММ</w:t>
      </w:r>
      <w:r>
        <w:rPr/>
        <w:t>, где:</w:t>
      </w:r>
    </w:p>
    <w:p>
      <w:pPr>
        <w:pStyle w:val="Style15"/>
        <w:numPr>
          <w:ilvl w:val="0"/>
          <w:numId w:val="2"/>
        </w:numPr>
        <w:rPr/>
      </w:pPr>
      <w:r>
        <w:rPr/>
        <w:t>ЧЧ — число месяца (1-31);</w:t>
      </w:r>
    </w:p>
    <w:p>
      <w:pPr>
        <w:pStyle w:val="Style15"/>
        <w:numPr>
          <w:ilvl w:val="0"/>
          <w:numId w:val="2"/>
        </w:numPr>
        <w:rPr/>
      </w:pPr>
      <w:r>
        <w:rPr/>
        <w:t xml:space="preserve">ММ — порядковый номер месяца года (1-12). </w:t>
      </w:r>
    </w:p>
    <w:p>
      <w:pPr>
        <w:pStyle w:val="Style14"/>
        <w:rPr/>
      </w:pPr>
      <w:r>
        <w:rPr/>
        <w:t xml:space="preserve">Время задается по маске: </w:t>
      </w:r>
      <w:r>
        <w:rPr>
          <w:b/>
          <w:bCs/>
        </w:rPr>
        <w:t>чч:мм</w:t>
      </w:r>
      <w:r>
        <w:rPr/>
        <w:t>, где:</w:t>
      </w:r>
    </w:p>
    <w:p>
      <w:pPr>
        <w:pStyle w:val="Style15"/>
        <w:numPr>
          <w:ilvl w:val="0"/>
          <w:numId w:val="2"/>
        </w:numPr>
        <w:rPr/>
      </w:pPr>
      <w:r>
        <w:rPr/>
        <w:t>чч — часы (0-24);</w:t>
      </w:r>
    </w:p>
    <w:p>
      <w:pPr>
        <w:pStyle w:val="Style15"/>
        <w:numPr>
          <w:ilvl w:val="0"/>
          <w:numId w:val="2"/>
        </w:numPr>
        <w:rPr/>
      </w:pPr>
      <w:r>
        <w:rPr/>
        <w:t xml:space="preserve">мм — минуты (0-59). </w:t>
      </w:r>
    </w:p>
    <w:p>
      <w:pPr>
        <w:pStyle w:val="Style14"/>
        <w:rPr/>
      </w:pPr>
      <w:r>
        <w:rPr/>
        <w:t>После проведения автоматической проверки в указанный день, месяц и время в Подсистеме будут автоматически сформирован проект акта об уничтожении на дела и документы, чей срок временного хранения истёк в текущем году.</w:t>
      </w:r>
    </w:p>
    <w:p>
      <w:pPr>
        <w:pStyle w:val="21"/>
        <w:rPr/>
      </w:pPr>
      <w:bookmarkStart w:id="28" w:name="_Toc184909303"/>
      <w:r>
        <w:rPr/>
        <w:t>Проверка МЧД</w:t>
      </w:r>
      <w:bookmarkEnd w:id="28"/>
    </w:p>
    <w:p>
      <w:pPr>
        <w:pStyle w:val="Style14"/>
        <w:rPr/>
      </w:pPr>
      <w:r>
        <w:rPr/>
        <w:t xml:space="preserve">Настройки группы </w:t>
      </w:r>
      <w:r>
        <w:rPr>
          <w:b/>
          <w:bCs/>
        </w:rPr>
        <w:t>«Проверка МЧД»</w:t>
      </w:r>
      <w:r>
        <w:rPr/>
        <w:t xml:space="preserve"> (Рисунок 1.14) позволяют задать проверку машиночитаемых доверенностей (МЧД) при наступлении следующих событий:</w:t>
      </w:r>
    </w:p>
    <w:p>
      <w:pPr>
        <w:pStyle w:val="Style15"/>
        <w:numPr>
          <w:ilvl w:val="0"/>
          <w:numId w:val="2"/>
        </w:numPr>
        <w:rPr/>
      </w:pPr>
      <w:r>
        <w:rPr/>
        <w:t>при получении входящего транспортного контейнера;</w:t>
      </w:r>
    </w:p>
    <w:p>
      <w:pPr>
        <w:pStyle w:val="Style15"/>
        <w:numPr>
          <w:ilvl w:val="0"/>
          <w:numId w:val="2"/>
        </w:numPr>
        <w:rPr/>
      </w:pPr>
      <w:r>
        <w:rPr/>
        <w:t>при назначении сертификата пользователю;</w:t>
      </w:r>
    </w:p>
    <w:p>
      <w:pPr>
        <w:pStyle w:val="Style15"/>
        <w:numPr>
          <w:ilvl w:val="0"/>
          <w:numId w:val="2"/>
        </w:numPr>
        <w:rPr/>
      </w:pPr>
      <w:r>
        <w:rPr/>
        <w:t>при подписании XML документов и отправке исходящих транспортных контейнеров.</w:t>
      </w:r>
    </w:p>
    <w:p>
      <w:pPr>
        <w:pStyle w:val="Style20"/>
        <w:rPr/>
      </w:pPr>
      <w:r>
        <w:rPr/>
        <w:drawing>
          <wp:inline distT="0" distB="0" distL="0" distR="0">
            <wp:extent cx="6210300" cy="2176145"/>
            <wp:effectExtent l="0" t="0" r="0" b="0"/>
            <wp:docPr id="17" name="Изображение6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66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r>
        <w:rPr/>
        <w:t>. Группа настроек «Проверка МЧД»</w:t>
      </w:r>
    </w:p>
    <w:p>
      <w:pPr>
        <w:pStyle w:val="Style14"/>
        <w:rPr/>
      </w:pPr>
      <w:r>
        <w:rPr/>
        <w:t xml:space="preserve">При установленном значении </w:t>
      </w:r>
      <w:r>
        <w:rPr>
          <w:b/>
          <w:bCs/>
        </w:rPr>
        <w:t>«Да»</w:t>
      </w:r>
      <w:r>
        <w:rPr/>
        <w:t xml:space="preserve"> в поле </w:t>
      </w:r>
      <w:r>
        <w:rPr>
          <w:b/>
          <w:bCs/>
        </w:rPr>
        <w:t>«Проверка входящих ТК»</w:t>
      </w:r>
      <w:r>
        <w:rPr/>
        <w:t xml:space="preserve"> при поступлении в Подсистему транспортного контейнера, который подписан подписью, будет являться обязательным наличие МЧД в составе этого контейнера. Подсистемой будет произведена проверка наличия МЧД и выполнена проверка соответствия этой МЧД подписи ТК (валидация по схеме xsd, срок действия, соответствие ФИО пользователя в МЧД и подписи). Если проверка не пройдена, ТК не будет принят Подсистемой, и это будет отражено в ответной квитанции.</w:t>
      </w:r>
    </w:p>
    <w:p>
      <w:pPr>
        <w:pStyle w:val="Style14"/>
        <w:rPr/>
      </w:pPr>
      <w:r>
        <w:rPr/>
        <w:t xml:space="preserve">При установленном значении </w:t>
      </w:r>
      <w:r>
        <w:rPr>
          <w:b/>
          <w:bCs/>
        </w:rPr>
        <w:t>«Да»</w:t>
      </w:r>
      <w:r>
        <w:rPr/>
        <w:t xml:space="preserve"> в поле </w:t>
      </w:r>
      <w:r>
        <w:rPr>
          <w:b/>
          <w:bCs/>
        </w:rPr>
        <w:t xml:space="preserve">«Проверка на подписание </w:t>
      </w:r>
      <w:r>
        <w:rPr>
          <w:b/>
          <w:bCs/>
          <w:lang w:val="en-US"/>
        </w:rPr>
        <w:t>XML</w:t>
      </w:r>
      <w:r>
        <w:rPr>
          <w:b/>
          <w:bCs/>
        </w:rPr>
        <w:t xml:space="preserve"> документов и отправке исходящих ТК»</w:t>
      </w:r>
      <w:r>
        <w:rPr/>
        <w:t xml:space="preserve"> при попытке подписания пользователем (например, при вынесении решения «Согласовать»/«Утвердить») в Подсистеме будет производиться:</w:t>
      </w:r>
    </w:p>
    <w:p>
      <w:pPr>
        <w:pStyle w:val="Style15"/>
        <w:numPr>
          <w:ilvl w:val="0"/>
          <w:numId w:val="2"/>
        </w:numPr>
        <w:rPr/>
      </w:pPr>
      <w:r>
        <w:rPr/>
        <w:t>проверка на наличие МЧД у выбранного сертификата для подписания (к сертификату должна быть загружена МЧД в блоке «</w:t>
      </w:r>
      <w:r>
        <w:rPr>
          <w:b/>
          <w:bCs/>
        </w:rPr>
        <w:t>Сертификаты»</w:t>
      </w:r>
      <w:r>
        <w:rPr/>
        <w:t xml:space="preserve"> в карточке пользователя);</w:t>
      </w:r>
    </w:p>
    <w:p>
      <w:pPr>
        <w:pStyle w:val="Style15"/>
        <w:numPr>
          <w:ilvl w:val="0"/>
          <w:numId w:val="2"/>
        </w:numPr>
        <w:rPr/>
      </w:pPr>
      <w:r>
        <w:rPr/>
        <w:t>проверка на соответствие МЧД сертификату (валидация по схеме xsd, срок действия, соответствие ФИО пользователя в МЧД и подписи).</w:t>
      </w:r>
    </w:p>
    <w:p>
      <w:pPr>
        <w:pStyle w:val="Style14"/>
        <w:rPr/>
      </w:pPr>
      <w:r>
        <w:rPr/>
        <w:t>Если проверка не будет пройдена - Подсистема выдаст ошибку и заблокирует процесс подписания.</w:t>
      </w:r>
    </w:p>
    <w:p>
      <w:pPr>
        <w:pStyle w:val="Style14"/>
        <w:rPr/>
      </w:pPr>
      <w:r>
        <w:rPr/>
        <w:t xml:space="preserve">При установленном значении </w:t>
      </w:r>
      <w:r>
        <w:rPr>
          <w:b/>
          <w:bCs/>
        </w:rPr>
        <w:t>«Да»</w:t>
      </w:r>
      <w:r>
        <w:rPr/>
        <w:t xml:space="preserve"> в поле </w:t>
      </w:r>
      <w:r>
        <w:rPr>
          <w:b/>
          <w:bCs/>
        </w:rPr>
        <w:t>«Проверка при назначении сертификата пользователю»</w:t>
      </w:r>
      <w:r>
        <w:rPr/>
        <w:t xml:space="preserve"> Подсистемой будет произведена проверка на наличие прикрепленной МЧД при добавлении сертификата пользователю в карточке пользователя в блоке </w:t>
      </w:r>
      <w:r>
        <w:rPr>
          <w:b/>
          <w:bCs/>
        </w:rPr>
        <w:t>«Сертификаты»</w:t>
      </w:r>
      <w:r>
        <w:rPr/>
        <w:t xml:space="preserve"> и проверка прикрепленной МЧД к сертификату на соответствие (валидация по схеме xsd, срок действия, соответствие ФИО пользователя в МЧД и подписи).</w:t>
      </w:r>
    </w:p>
    <w:p>
      <w:pPr>
        <w:pStyle w:val="Style14"/>
        <w:rPr/>
      </w:pPr>
      <w:r>
        <w:rPr/>
        <w:t>Если проверка не будет пройдена, Подсистема не даст сохранить и назначить сертификат без прикрепления МЧД к этому сертификату.</w:t>
      </w:r>
    </w:p>
    <w:p>
      <w:pPr>
        <w:pStyle w:val="21"/>
        <w:rPr/>
      </w:pPr>
      <w:bookmarkStart w:id="29" w:name="_Toc184909304"/>
      <w:r>
        <w:rPr/>
        <w:t>Техподдержка</w:t>
      </w:r>
      <w:bookmarkEnd w:id="29"/>
    </w:p>
    <w:p>
      <w:pPr>
        <w:pStyle w:val="Style14"/>
        <w:rPr/>
      </w:pPr>
      <w:r>
        <w:rPr/>
        <w:t xml:space="preserve">В группе </w:t>
      </w:r>
      <w:r>
        <w:rPr>
          <w:b/>
          <w:bCs/>
        </w:rPr>
        <w:t xml:space="preserve">«Техподдержка» </w:t>
      </w:r>
      <w:r>
        <w:rPr/>
        <w:t>указан адрес электронной почты для обращения в техническую поддержку Подсистемы (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__RefNumPara__144757_1253639267 \n \h </w:instrText>
      </w:r>
      <w:r>
        <w:rPr>
          <w:lang w:val="en-US"/>
        </w:rPr>
        <w:fldChar w:fldCharType="separate"/>
      </w:r>
      <w:r>
        <w:rPr>
          <w:lang w:val="en-US"/>
        </w:rPr>
        <w:t>Рисунок 1.15</w:t>
      </w:r>
      <w:r>
        <w:rPr>
          <w:lang w:val="en-US"/>
        </w:rPr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836420"/>
            <wp:effectExtent l="0" t="0" r="0" b="0"/>
            <wp:docPr id="18" name="Изображение6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67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0"/>
          <w:numId w:val="8"/>
        </w:numPr>
        <w:ind w:firstLine="680"/>
        <w:rPr/>
      </w:pPr>
      <w:bookmarkStart w:id="30" w:name="__RefNumPara__144757_1253639267"/>
      <w:bookmarkEnd w:id="30"/>
      <w:r>
        <w:rPr/>
        <w:t>. Адрес электронной почты для обращения в техническую поддержку Подсистемы</w:t>
      </w:r>
    </w:p>
    <w:p>
      <w:pPr>
        <w:pStyle w:val="11"/>
        <w:rPr/>
      </w:pPr>
      <w:bookmarkStart w:id="31" w:name="_Toc184909305"/>
      <w:r>
        <w:rPr/>
        <w:t>Нормативно-справочная информация (НСИ)</w:t>
      </w:r>
      <w:bookmarkEnd w:id="31"/>
    </w:p>
    <w:p>
      <w:pPr>
        <w:pStyle w:val="Style14"/>
        <w:rPr/>
      </w:pPr>
      <w:r>
        <w:rPr/>
        <w:t>После ввода основных системных настроек требуется перейти в раздел нормативно-справочной информации (НСИ).</w:t>
      </w:r>
    </w:p>
    <w:p>
      <w:pPr>
        <w:pStyle w:val="Style14"/>
        <w:rPr/>
      </w:pPr>
      <w:r>
        <w:rPr/>
        <w:t>Нормативно-справочная информация в Подсистеме представляет собой справочники, которые применяются в Подсистеме в процессе работы с объектами в текущей ОИК. В настоящем разделе будут рассмотрены виды справочников, имеющихся в Подсистеме.</w:t>
      </w:r>
    </w:p>
    <w:p>
      <w:pPr>
        <w:pStyle w:val="Style14"/>
        <w:rPr/>
      </w:pPr>
      <w:r>
        <w:rPr/>
        <w:t xml:space="preserve">Для перехода в раздел нормативно-справочной информации необходимо выбрать раздел </w:t>
      </w:r>
      <w:r>
        <w:rPr>
          <w:b/>
          <w:bCs/>
        </w:rPr>
        <w:t>«НСИ»</w:t>
      </w:r>
      <w:r>
        <w:rPr/>
        <w:t xml:space="preserve"> Главного меню Подсистемы (</w:t>
      </w:r>
      <w:r>
        <w:rPr/>
        <w:fldChar w:fldCharType="begin"/>
      </w:r>
      <w:r>
        <w:rPr/>
        <w:instrText xml:space="preserve"> REF __RefNumPara__151973_2768924207 \n \h </w:instrText>
      </w:r>
      <w:r>
        <w:rPr/>
        <w:fldChar w:fldCharType="separate"/>
      </w:r>
      <w:r>
        <w:rPr/>
        <w:t>Рисунок 2.1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958975"/>
            <wp:effectExtent l="0" t="0" r="0" b="0"/>
            <wp:docPr id="19" name="Изображение7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72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32" w:name="__RefNumPara__151973_2768924207"/>
      <w:bookmarkEnd w:id="32"/>
      <w:r>
        <w:rPr/>
        <w:t>.  Раздел «НСИ» Главного меню Подсистемы</w:t>
      </w:r>
    </w:p>
    <w:p>
      <w:pPr>
        <w:pStyle w:val="Style14"/>
        <w:rPr/>
      </w:pPr>
      <w:r>
        <w:rPr/>
        <w:t xml:space="preserve">В верхней области раздела </w:t>
      </w:r>
      <w:r>
        <w:rPr>
          <w:b/>
          <w:bCs/>
        </w:rPr>
        <w:t>«НСИ»</w:t>
      </w:r>
      <w:r>
        <w:rPr/>
        <w:t xml:space="preserve"> расположена панель с вкладками доступа к справочникам: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«Источники»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«Архивы»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«Фонды»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«Участники согласований»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«Скомпрометированные пароли»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«Подразделения»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«Реестр видов документов»</w:t>
      </w:r>
      <w:r>
        <w:rPr/>
        <w:t>.</w:t>
      </w:r>
    </w:p>
    <w:p>
      <w:pPr>
        <w:pStyle w:val="Style14"/>
        <w:shd w:val="clear" w:color="auto" w:fill="DDDDDD"/>
        <w:rPr>
          <w:i/>
          <w:i/>
          <w:iCs/>
        </w:rPr>
      </w:pPr>
      <w:r>
        <w:rPr>
          <w:b/>
          <w:bCs/>
          <w:i/>
          <w:iCs/>
        </w:rPr>
        <w:t xml:space="preserve">Примечание: </w:t>
      </w:r>
      <w:r>
        <w:rPr>
          <w:i/>
          <w:iCs/>
        </w:rPr>
        <w:t xml:space="preserve">Некоторые справочники, в частности справочники </w:t>
      </w:r>
      <w:r>
        <w:rPr>
          <w:b/>
          <w:bCs/>
          <w:i/>
          <w:iCs/>
        </w:rPr>
        <w:t>«Архивы»</w:t>
      </w:r>
      <w:r>
        <w:rPr>
          <w:i/>
          <w:iCs/>
        </w:rPr>
        <w:t xml:space="preserve"> и </w:t>
      </w:r>
      <w:r>
        <w:rPr>
          <w:b/>
          <w:bCs/>
          <w:i/>
          <w:iCs/>
        </w:rPr>
        <w:t>«Фонды»</w:t>
      </w:r>
      <w:r>
        <w:rPr>
          <w:i/>
          <w:iCs/>
        </w:rPr>
        <w:t xml:space="preserve"> содержат информативные данные, которые должны быть загружены в Подсистему автоматически при синхронизации ОИК с подсистемой «ЦХЭД». Для корректной работы Подсистемы и ее взаимодействии с подсистемой «ЦХЭД» не рекомендуется самостоятельно редактировать данные в указанных справочниках. При возникновении вопросов следует обращаться в службу технической поддержки.</w:t>
      </w:r>
    </w:p>
    <w:p>
      <w:pPr>
        <w:pStyle w:val="21"/>
        <w:rPr/>
      </w:pPr>
      <w:bookmarkStart w:id="33" w:name="__RefNumPara__122452_1253639267"/>
      <w:bookmarkStart w:id="34" w:name="__RefHeading___Toc4755_2481601417_Копия_"/>
      <w:bookmarkStart w:id="35" w:name="_Toc184909306"/>
      <w:bookmarkEnd w:id="33"/>
      <w:bookmarkEnd w:id="34"/>
      <w:r>
        <w:rPr/>
        <w:t>Справочник «Источники»</w:t>
      </w:r>
      <w:bookmarkEnd w:id="35"/>
    </w:p>
    <w:p>
      <w:pPr>
        <w:pStyle w:val="Style14"/>
        <w:rPr/>
      </w:pPr>
      <w:r>
        <w:rPr/>
        <w:t>При входе в раздел</w:t>
      </w:r>
      <w:r>
        <w:rPr>
          <w:b/>
          <w:bCs/>
        </w:rPr>
        <w:t xml:space="preserve"> «НСИ»</w:t>
      </w:r>
      <w:r>
        <w:rPr/>
        <w:t xml:space="preserve"> первой откроется вкладка </w:t>
      </w:r>
      <w:r>
        <w:rPr>
          <w:b/>
          <w:bCs/>
        </w:rPr>
        <w:t>«Источники»</w:t>
      </w:r>
      <w:r>
        <w:rPr/>
        <w:t xml:space="preserve"> - список источников электронных документов (</w:t>
      </w:r>
      <w:r>
        <w:rPr/>
        <w:fldChar w:fldCharType="begin"/>
      </w:r>
      <w:r>
        <w:rPr/>
        <w:instrText xml:space="preserve"> REF __RefNumPara__152590_2768924207 \n \h </w:instrText>
      </w:r>
      <w:r>
        <w:rPr/>
        <w:fldChar w:fldCharType="separate"/>
      </w:r>
      <w:r>
        <w:rPr/>
        <w:t>Рисунок 2.2</w:t>
      </w:r>
      <w:r>
        <w:rPr/>
        <w:fldChar w:fldCharType="end"/>
      </w:r>
      <w:r>
        <w:rPr/>
        <w:t xml:space="preserve">). Данный справочник регулирует перечень источников, который доступен пользователям при указании обязательного поля </w:t>
      </w:r>
      <w:r>
        <w:rPr>
          <w:b/>
          <w:bCs/>
        </w:rPr>
        <w:t>«Источник»</w:t>
      </w:r>
      <w:r>
        <w:rPr/>
        <w:t xml:space="preserve"> в карточках документов.</w:t>
      </w:r>
    </w:p>
    <w:p>
      <w:pPr>
        <w:pStyle w:val="Style14"/>
        <w:rPr/>
      </w:pPr>
      <w:r>
        <w:rPr/>
        <w:t>По умолчанию после создания инстанции ОИК справочник содержит список предустановленных значений. При необходимости администратор может отредактировать и дополнить данный справочник источниками поступления документов, актуальными для текущей организации.</w:t>
      </w:r>
    </w:p>
    <w:p>
      <w:pPr>
        <w:pStyle w:val="Style20"/>
        <w:rPr/>
      </w:pPr>
      <w:r>
        <w:rPr/>
        <w:drawing>
          <wp:inline distT="0" distB="0" distL="0" distR="0">
            <wp:extent cx="6210300" cy="2686050"/>
            <wp:effectExtent l="0" t="0" r="0" b="0"/>
            <wp:docPr id="20" name="Изображение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73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36" w:name="__RefNumPara__152590_2768924207"/>
      <w:bookmarkEnd w:id="36"/>
      <w:r>
        <w:rPr/>
        <w:t>. Вкладка НСИ «Источники»</w:t>
      </w:r>
    </w:p>
    <w:p>
      <w:pPr>
        <w:pStyle w:val="Style14"/>
        <w:rPr/>
      </w:pPr>
      <w:r>
        <w:rPr/>
        <w:t xml:space="preserve">Список источников в Подсистеме отображается в виде таблицы </w:t>
      </w:r>
      <w:r>
        <w:rPr>
          <w:b/>
          <w:bCs/>
        </w:rPr>
        <w:t>(2)</w:t>
      </w:r>
      <w:r>
        <w:rPr/>
        <w:t>, заголовки столбцов которой содержат следующие наименования параметров: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«Наименование источника»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«Описание»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«Последнее обновление данных»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«Актуальность»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«Редактировать»</w:t>
      </w:r>
      <w:r>
        <w:rPr/>
        <w:t>.</w:t>
      </w:r>
    </w:p>
    <w:p>
      <w:pPr>
        <w:pStyle w:val="Style14"/>
        <w:rPr/>
      </w:pPr>
      <w:r>
        <w:rPr/>
        <w:t xml:space="preserve">В верхней части экранной формы расположена поисковая строка </w:t>
      </w:r>
      <w:r>
        <w:rPr>
          <w:b/>
          <w:bCs/>
        </w:rPr>
        <w:t>(1)</w:t>
      </w:r>
      <w:r>
        <w:rPr/>
        <w:t xml:space="preserve">. В Подсистеме реализована функция быстрого поиска по параметру </w:t>
      </w:r>
      <w:r>
        <w:rPr>
          <w:b/>
          <w:bCs/>
        </w:rPr>
        <w:t>«Наименование»</w:t>
      </w:r>
      <w:r>
        <w:rPr/>
        <w:t xml:space="preserve">, а также функция поиска с помощью расширенного фильтра по параметру </w:t>
      </w:r>
      <w:r>
        <w:rPr>
          <w:b/>
          <w:bCs/>
        </w:rPr>
        <w:t>«Актуальность»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__RefNumPara__153262_2768924207 \n \h </w:instrText>
      </w:r>
      <w:r>
        <w:rPr/>
        <w:fldChar w:fldCharType="separate"/>
      </w:r>
      <w:r>
        <w:rPr/>
        <w:t>Рисунок 2.3</w:t>
      </w:r>
      <w:r>
        <w:rPr/>
        <w:fldChar w:fldCharType="end"/>
      </w:r>
      <w:r>
        <w:rPr/>
        <w:t xml:space="preserve">). Расширенный фильтр раскрывается при помощи кнопки </w:t>
      </w:r>
      <w:r>
        <w:rPr/>
        <w:drawing>
          <wp:inline distT="0" distB="0" distL="0" distR="0">
            <wp:extent cx="304800" cy="304800"/>
            <wp:effectExtent l="0" t="0" r="0" b="0"/>
            <wp:docPr id="21" name="Изображение7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74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, расположенной справа от поисковой строки.</w:t>
      </w:r>
    </w:p>
    <w:p>
      <w:pPr>
        <w:pStyle w:val="Style20"/>
        <w:rPr/>
      </w:pPr>
      <w:r>
        <w:rPr/>
        <w:drawing>
          <wp:inline distT="0" distB="0" distL="0" distR="0">
            <wp:extent cx="6210300" cy="2143125"/>
            <wp:effectExtent l="0" t="0" r="0" b="0"/>
            <wp:docPr id="22" name="Изображение7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75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37" w:name="__RefNumPara__153262_2768924207"/>
      <w:bookmarkEnd w:id="37"/>
      <w:r>
        <w:rPr/>
        <w:t>. Функция расширенного поиска источника</w:t>
      </w:r>
    </w:p>
    <w:p>
      <w:pPr>
        <w:pStyle w:val="Style14"/>
        <w:rPr/>
      </w:pPr>
      <w:r>
        <w:rPr/>
        <w:t xml:space="preserve">Для редактирования источника, требуется нажать кнопку </w:t>
      </w:r>
      <w:r>
        <w:rPr/>
        <w:drawing>
          <wp:inline distT="0" distB="0" distL="0" distR="0">
            <wp:extent cx="248920" cy="248920"/>
            <wp:effectExtent l="0" t="0" r="0" b="0"/>
            <wp:docPr id="23" name="Изображение7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76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напротив выбранного источника в столбце </w:t>
      </w:r>
      <w:r>
        <w:rPr>
          <w:b/>
          <w:bCs/>
        </w:rPr>
        <w:t>«Редактировать»</w:t>
      </w:r>
      <w:r>
        <w:rPr/>
        <w:t xml:space="preserve"> таблицы списка </w:t>
        <w:br/>
        <w:t xml:space="preserve">(см. </w:t>
      </w:r>
      <w:r>
        <w:rPr/>
        <w:fldChar w:fldCharType="begin"/>
      </w:r>
      <w:r>
        <w:rPr/>
        <w:instrText xml:space="preserve"> REF __RefNumPara__152590_2768924207 \n \h </w:instrText>
      </w:r>
      <w:r>
        <w:rPr/>
        <w:fldChar w:fldCharType="separate"/>
      </w:r>
      <w:r>
        <w:rPr/>
        <w:t>Рисунок 2.2</w:t>
      </w:r>
      <w:r>
        <w:rPr/>
        <w:fldChar w:fldCharType="end"/>
      </w:r>
      <w:r>
        <w:rPr/>
        <w:t xml:space="preserve">) </w:t>
      </w:r>
    </w:p>
    <w:p>
      <w:pPr>
        <w:pStyle w:val="Style14"/>
        <w:rPr/>
      </w:pPr>
      <w:r>
        <w:rPr/>
        <w:t xml:space="preserve">Чтобы добавить новый источник, требуется нажать кнопку </w:t>
      </w:r>
      <w:r>
        <w:rPr>
          <w:b/>
          <w:bCs/>
        </w:rPr>
        <w:t>«Добавить источник»</w:t>
      </w:r>
      <w:r>
        <w:rPr/>
        <w:t xml:space="preserve"> в левом нижнем углу формы (см. </w:t>
      </w:r>
      <w:r>
        <w:rPr/>
        <w:fldChar w:fldCharType="begin"/>
      </w:r>
      <w:r>
        <w:rPr/>
        <w:instrText xml:space="preserve"> REF __RefNumPara__152590_2768924207 \n \h </w:instrText>
      </w:r>
      <w:r>
        <w:rPr/>
        <w:fldChar w:fldCharType="separate"/>
      </w:r>
      <w:r>
        <w:rPr/>
        <w:t>Рисунок 2.2</w:t>
      </w:r>
      <w:r>
        <w:rPr/>
        <w:fldChar w:fldCharType="end"/>
      </w:r>
      <w:r>
        <w:rPr/>
        <w:t>).</w:t>
      </w:r>
    </w:p>
    <w:p>
      <w:pPr>
        <w:pStyle w:val="Style14"/>
        <w:rPr/>
      </w:pPr>
      <w:r>
        <w:rPr/>
        <w:t>В появившемся модальном окне</w:t>
      </w:r>
      <w:r>
        <w:rPr>
          <w:b/>
          <w:bCs/>
        </w:rPr>
        <w:t xml:space="preserve"> «Добавление источника»</w:t>
      </w:r>
      <w:r>
        <w:rPr/>
        <w:t xml:space="preserve"> требуется ввести следующие параметры (Рисунок 2.4):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 xml:space="preserve">«Наименование» </w:t>
      </w:r>
      <w:r>
        <w:rPr/>
        <w:t>– название источника;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«Описание»</w:t>
      </w:r>
      <w:r>
        <w:rPr/>
        <w:t xml:space="preserve"> – описание источника;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«Код»</w:t>
      </w:r>
      <w:r>
        <w:rPr/>
        <w:t xml:space="preserve"> – задать уникальный код источнику;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«Последнее обновление данных»</w:t>
      </w:r>
      <w:r>
        <w:rPr/>
        <w:t xml:space="preserve"> – дата обновления (заполняется автоматически).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«Актуальность»</w:t>
      </w:r>
      <w:r>
        <w:rPr/>
        <w:t xml:space="preserve"> — задать актуальность источника (если маркер отключен, источник будет недоступен для выбора в карточках документов).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3459480" cy="3933825"/>
            <wp:effectExtent l="0" t="0" r="0" b="0"/>
            <wp:docPr id="24" name="Изображение32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32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33753" t="4837" r="33861" b="1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r>
        <w:rPr/>
        <w:t>. Добавление источника</w:t>
      </w:r>
    </w:p>
    <w:p>
      <w:pPr>
        <w:pStyle w:val="Style14"/>
        <w:rPr/>
      </w:pPr>
      <w:r>
        <w:rPr/>
        <w:t xml:space="preserve">Для добавления нового источника, необходимо нажать кнопку </w:t>
      </w:r>
      <w:r>
        <w:rPr>
          <w:b/>
          <w:bCs/>
        </w:rPr>
        <w:t>«Добавить»</w:t>
      </w:r>
      <w:r>
        <w:rPr/>
        <w:t xml:space="preserve"> в правом нижнем углу экрана, или кнопку </w:t>
      </w:r>
      <w:r>
        <w:rPr>
          <w:b/>
          <w:bCs/>
        </w:rPr>
        <w:t>«Отменить»</w:t>
      </w:r>
      <w:r>
        <w:rPr/>
        <w:t>, чтобы выйти из карточки без сохранения. Обязательные для заполнения поля отмечены «*».</w:t>
      </w:r>
    </w:p>
    <w:p>
      <w:pPr>
        <w:pStyle w:val="21"/>
        <w:rPr/>
      </w:pPr>
      <w:bookmarkStart w:id="38" w:name="__RefNumPara__122454_1253639267"/>
      <w:bookmarkStart w:id="39" w:name="__RefHeading___Toc4757_2481601417_Копия_"/>
      <w:bookmarkStart w:id="40" w:name="_Toc184909307"/>
      <w:bookmarkEnd w:id="38"/>
      <w:bookmarkEnd w:id="39"/>
      <w:r>
        <w:rPr/>
        <w:t>Справочник «Архивы»</w:t>
      </w:r>
      <w:bookmarkEnd w:id="40"/>
    </w:p>
    <w:p>
      <w:pPr>
        <w:pStyle w:val="Style14"/>
        <w:rPr/>
      </w:pPr>
      <w:r>
        <w:rPr/>
        <w:t xml:space="preserve">Вкладка </w:t>
      </w:r>
      <w:r>
        <w:rPr>
          <w:b/>
          <w:bCs/>
        </w:rPr>
        <w:t>«Архивы»</w:t>
      </w:r>
      <w:r>
        <w:rPr/>
        <w:t xml:space="preserve"> содержит перечень архивных организаций, </w:t>
      </w:r>
      <w:r>
        <w:rPr>
          <w:szCs w:val="28"/>
          <w:lang w:eastAsia="ru-RU"/>
        </w:rPr>
        <w:t xml:space="preserve">осуществляющих комплектование, учет, хранение и использование документов Архивного фонда РФ, передаваемых из Подсистемы </w:t>
      </w:r>
      <w:r>
        <w:rPr>
          <w:b/>
          <w:bCs/>
          <w:szCs w:val="28"/>
          <w:lang w:eastAsia="ru-RU"/>
        </w:rPr>
        <w:t>«Облачный архив»</w:t>
      </w:r>
      <w:r>
        <w:rPr>
          <w:szCs w:val="28"/>
          <w:lang w:eastAsia="ru-RU"/>
        </w:rPr>
        <w:t xml:space="preserve"> в Подсистему «ЦХЭД»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__RefNumPara__153396_2768924207 \n \h </w:instrText>
      </w:r>
      <w:r>
        <w:rPr/>
        <w:fldChar w:fldCharType="separate"/>
      </w:r>
      <w:r>
        <w:rPr/>
        <w:t>Рисунок 2.5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2887980"/>
            <wp:effectExtent l="0" t="0" r="0" b="0"/>
            <wp:docPr id="25" name="Изображение7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77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41" w:name="__RefNumPara__153396_2768924207"/>
      <w:bookmarkEnd w:id="41"/>
      <w:r>
        <w:rPr/>
        <w:t>. Вкладка НСИ «Архивы»</w:t>
      </w:r>
    </w:p>
    <w:p>
      <w:pPr>
        <w:pStyle w:val="Style14"/>
        <w:rPr/>
      </w:pPr>
      <w:r>
        <w:rPr/>
        <w:t xml:space="preserve">Справочник заполняется в Подсистеме автоматически </w:t>
      </w:r>
      <w:r>
        <w:rPr>
          <w:szCs w:val="28"/>
          <w:lang w:eastAsia="ru-RU"/>
        </w:rPr>
        <w:t>после ее интеграции с подсистемой «ЦХЭД». Администратору не следует выполнять редактирование, удаление и добавление записей в данном справочнике, так как это может привести к ошибкам синхронизации с подсистемой «ЦХЭД».</w:t>
      </w:r>
    </w:p>
    <w:p>
      <w:pPr>
        <w:pStyle w:val="Style14"/>
        <w:rPr/>
      </w:pPr>
      <w:r>
        <w:rPr/>
        <w:t>Список Архивов в Подсистеме отображается в виде таблицы (2), заголовки столбцов которой содержат следующие наименования параметров: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«Полное наименование»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«Краткое наименование»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«Код»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«Описание»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</w:t>
      </w:r>
      <w:r>
        <w:rPr>
          <w:b/>
          <w:bCs/>
          <w:lang w:val="en-US"/>
        </w:rPr>
        <w:t>E-mail»</w:t>
      </w:r>
      <w:r>
        <w:rPr>
          <w:lang w:val="en-US"/>
        </w:rPr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«Адрес»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«Руководитель»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«Телефон руководителя»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«Актуальность»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«Редактировать»</w:t>
      </w:r>
      <w:r>
        <w:rPr/>
        <w:t>.</w:t>
      </w:r>
    </w:p>
    <w:p>
      <w:pPr>
        <w:pStyle w:val="Style14"/>
        <w:rPr/>
      </w:pPr>
      <w:r>
        <w:rPr/>
        <w:t xml:space="preserve">По каждому столбцу таблицы можно выполнить сортировку – по возрастанию значения параметра </w:t>
      </w:r>
      <w:r>
        <w:rPr/>
        <w:drawing>
          <wp:inline distT="0" distB="0" distL="0" distR="0">
            <wp:extent cx="231140" cy="239395"/>
            <wp:effectExtent l="0" t="0" r="0" b="0"/>
            <wp:docPr id="26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или убыванию </w:t>
      </w:r>
      <w:r>
        <w:rPr/>
        <w:drawing>
          <wp:inline distT="0" distB="0" distL="0" distR="0">
            <wp:extent cx="210185" cy="242570"/>
            <wp:effectExtent l="0" t="0" r="0" b="0"/>
            <wp:docPr id="27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24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Style14"/>
        <w:rPr/>
      </w:pPr>
      <w:r>
        <w:rPr/>
        <w:t>В верхней части экранной формы расположена поисковая строка (1)</w:t>
      </w:r>
      <w:r>
        <w:rPr>
          <w:b/>
          <w:bCs/>
        </w:rPr>
        <w:t>.</w:t>
      </w:r>
    </w:p>
    <w:p>
      <w:pPr>
        <w:pStyle w:val="Style14"/>
        <w:rPr/>
      </w:pPr>
      <w:r>
        <w:rPr/>
        <w:t xml:space="preserve">В Подсистеме реализована функция быстрого поиска по параметру </w:t>
      </w:r>
      <w:r>
        <w:rPr>
          <w:b/>
          <w:bCs/>
        </w:rPr>
        <w:t>«Полное или краткое наименование»</w:t>
      </w:r>
      <w:r>
        <w:rPr/>
        <w:t xml:space="preserve">, а также функция поиска с помощью расширенного фильтра по параметру </w:t>
      </w:r>
      <w:r>
        <w:rPr>
          <w:b/>
          <w:bCs/>
        </w:rPr>
        <w:t>«Актуальность»</w:t>
      </w:r>
      <w:r>
        <w:rPr/>
        <w:t xml:space="preserve">, аналогично функции поиска справочника </w:t>
      </w:r>
      <w:r>
        <w:rPr>
          <w:b/>
          <w:bCs/>
        </w:rPr>
        <w:t>«Источники»</w:t>
      </w:r>
      <w:r>
        <w:rPr/>
        <w:t xml:space="preserve"> (см. </w:t>
      </w:r>
      <w:r>
        <w:rPr/>
        <w:fldChar w:fldCharType="begin"/>
      </w:r>
      <w:r>
        <w:rPr/>
        <w:instrText xml:space="preserve"> REF __RefNumPara__153262_2768924207 \n \h </w:instrText>
      </w:r>
      <w:r>
        <w:rPr/>
        <w:fldChar w:fldCharType="separate"/>
      </w:r>
      <w:r>
        <w:rPr/>
        <w:t>Рисунок 2.3</w:t>
      </w:r>
      <w:r>
        <w:rPr/>
        <w:fldChar w:fldCharType="end"/>
      </w:r>
      <w:r>
        <w:rPr/>
        <w:t>).</w:t>
      </w:r>
    </w:p>
    <w:p>
      <w:pPr>
        <w:pStyle w:val="21"/>
        <w:rPr/>
      </w:pPr>
      <w:bookmarkStart w:id="42" w:name="__RefNumPara__122617_1253639267"/>
      <w:bookmarkStart w:id="43" w:name="__RefHeading___Toc4759_2481601417_Копия_"/>
      <w:bookmarkStart w:id="44" w:name="_Toc184909308"/>
      <w:bookmarkEnd w:id="42"/>
      <w:bookmarkEnd w:id="43"/>
      <w:r>
        <w:rPr/>
        <w:t>Справочник «Фонды»</w:t>
      </w:r>
      <w:bookmarkEnd w:id="44"/>
    </w:p>
    <w:p>
      <w:pPr>
        <w:pStyle w:val="Style14"/>
        <w:rPr/>
      </w:pPr>
      <w:r>
        <w:rPr/>
        <w:t xml:space="preserve">Вкладка </w:t>
      </w:r>
      <w:r>
        <w:rPr>
          <w:b/>
          <w:bCs/>
        </w:rPr>
        <w:t>«Фонды»</w:t>
      </w:r>
      <w:r>
        <w:rPr/>
        <w:t xml:space="preserve"> содержит перечень хранилищ ОИК, в которых осуществляется хранение его архивных документов в Архивном учреждении. Наименование и номер фонда(ов) присваивается ОИК автоматически после интеграции Подсистемы «Облачный архив» с подсистемой «ЦХЭД» (</w:t>
      </w:r>
      <w:r>
        <w:rPr/>
        <w:fldChar w:fldCharType="begin"/>
      </w:r>
      <w:r>
        <w:rPr/>
        <w:instrText xml:space="preserve"> REF __RefNumPara__146224_1253639267 \n \h </w:instrText>
      </w:r>
      <w:r>
        <w:rPr/>
        <w:fldChar w:fldCharType="separate"/>
      </w:r>
      <w:r>
        <w:rPr/>
        <w:t>Рисунок 2.6</w:t>
      </w:r>
      <w:r>
        <w:rPr/>
        <w:fldChar w:fldCharType="end"/>
      </w:r>
      <w:r>
        <w:rPr/>
        <w:t xml:space="preserve">). </w:t>
      </w:r>
    </w:p>
    <w:p>
      <w:pPr>
        <w:pStyle w:val="Style14"/>
        <w:rPr/>
      </w:pPr>
      <w:r>
        <w:rPr>
          <w:szCs w:val="28"/>
          <w:lang w:eastAsia="ru-RU"/>
        </w:rPr>
        <w:t>Администратору не следует выполнять редактирование, удаление и добавление записей в данном справочнике, так как это может привести к ошибкам синхронизации с подсистемой «ЦХЭД».</w:t>
      </w:r>
    </w:p>
    <w:p>
      <w:pPr>
        <w:pStyle w:val="Style20"/>
        <w:rPr/>
      </w:pPr>
      <w:r>
        <w:rPr/>
        <w:drawing>
          <wp:inline distT="0" distB="0" distL="0" distR="0">
            <wp:extent cx="6210300" cy="2945765"/>
            <wp:effectExtent l="0" t="0" r="0" b="0"/>
            <wp:docPr id="28" name="Изображение8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81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45" w:name="__RefNumPara__146224_1253639267"/>
      <w:bookmarkEnd w:id="45"/>
      <w:r>
        <w:rPr/>
        <w:t>. Вкладка НСИ «Фонды»</w:t>
      </w:r>
    </w:p>
    <w:p>
      <w:pPr>
        <w:pStyle w:val="Style14"/>
        <w:rPr/>
      </w:pPr>
      <w:r>
        <w:rPr/>
        <w:t xml:space="preserve">Список фондов в Подсистеме отображается в виде таблицы </w:t>
      </w:r>
      <w:r>
        <w:rPr>
          <w:b/>
          <w:bCs/>
        </w:rPr>
        <w:t>(2)</w:t>
      </w:r>
      <w:r>
        <w:rPr/>
        <w:t>, заголовки столбцов которой содержат следующие наименования параметров: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«Наименование»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«Номер»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«Описание»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«Наименование архива»</w:t>
      </w:r>
      <w:r>
        <w:rPr/>
        <w:t>;</w:t>
      </w:r>
    </w:p>
    <w:p>
      <w:pPr>
        <w:pStyle w:val="Style15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«Код»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«По умолчанию»</w:t>
      </w:r>
      <w:r>
        <w:rPr>
          <w:lang w:val="en-US"/>
        </w:rPr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«Актуальность»</w:t>
      </w:r>
      <w:r>
        <w:rPr/>
        <w:t>;</w:t>
      </w:r>
    </w:p>
    <w:p>
      <w:pPr>
        <w:pStyle w:val="Style15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«Редактировать»</w:t>
      </w:r>
      <w:r>
        <w:rPr/>
        <w:t>.</w:t>
      </w:r>
    </w:p>
    <w:p>
      <w:pPr>
        <w:pStyle w:val="Style14"/>
        <w:rPr/>
      </w:pPr>
      <w:r>
        <w:rPr/>
        <w:t xml:space="preserve">По каждому столбцу таблицы можно выполнить сортировку – по возрастанию значения параметра </w:t>
      </w:r>
      <w:r>
        <w:rPr/>
        <w:drawing>
          <wp:inline distT="0" distB="0" distL="0" distR="0">
            <wp:extent cx="200025" cy="228600"/>
            <wp:effectExtent l="0" t="0" r="0" b="0"/>
            <wp:docPr id="29" name="Изображение78 Копия 2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78 Копия 2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или убыванию </w:t>
      </w:r>
      <w:r>
        <w:rPr/>
        <w:drawing>
          <wp:inline distT="0" distB="0" distL="0" distR="0">
            <wp:extent cx="200025" cy="200025"/>
            <wp:effectExtent l="0" t="0" r="0" b="0"/>
            <wp:docPr id="30" name="Изображение9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90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Style14"/>
        <w:rPr/>
      </w:pPr>
      <w:r>
        <w:rPr/>
        <w:t xml:space="preserve">В верхней части экранной формы расположена поисковая строка </w:t>
      </w:r>
      <w:r>
        <w:rPr>
          <w:b/>
          <w:bCs/>
        </w:rPr>
        <w:t>(1).</w:t>
      </w:r>
    </w:p>
    <w:p>
      <w:pPr>
        <w:pStyle w:val="Style14"/>
        <w:rPr/>
      </w:pPr>
      <w:r>
        <w:rPr/>
        <w:t xml:space="preserve">В Подсистеме реализована функция быстрого поиска по параметру </w:t>
      </w:r>
      <w:r>
        <w:rPr>
          <w:b/>
          <w:bCs/>
        </w:rPr>
        <w:t>«Полное или краткое наименование»</w:t>
      </w:r>
      <w:r>
        <w:rPr/>
        <w:t xml:space="preserve">, а также функция поиска с помощью расширенного фильтра по параметрам </w:t>
      </w:r>
      <w:r>
        <w:rPr>
          <w:b/>
          <w:bCs/>
        </w:rPr>
        <w:t>«Номер»</w:t>
      </w:r>
      <w:r>
        <w:rPr/>
        <w:t xml:space="preserve">, </w:t>
      </w:r>
      <w:r>
        <w:rPr>
          <w:b/>
          <w:bCs/>
        </w:rPr>
        <w:t>«Актуальность»</w:t>
      </w:r>
      <w:r>
        <w:rPr/>
        <w:t xml:space="preserve"> и </w:t>
      </w:r>
      <w:r>
        <w:rPr>
          <w:b/>
          <w:bCs/>
        </w:rPr>
        <w:t>«Архив»</w:t>
      </w:r>
      <w:r>
        <w:rPr/>
        <w:t xml:space="preserve"> </w:t>
        <w:br/>
        <w:t>(</w:t>
      </w:r>
      <w:r>
        <w:rPr/>
        <w:fldChar w:fldCharType="begin"/>
      </w:r>
      <w:r>
        <w:rPr/>
        <w:instrText xml:space="preserve"> REF __RefNumPara__9448_1866024368 \n \h </w:instrText>
      </w:r>
      <w:r>
        <w:rPr/>
        <w:fldChar w:fldCharType="separate"/>
      </w:r>
      <w:r>
        <w:rPr/>
        <w:t>Рисунок 2.7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209040"/>
            <wp:effectExtent l="0" t="0" r="0" b="0"/>
            <wp:docPr id="31" name="Изображение9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91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46" w:name="__RefNumPara__9448_1866024368"/>
      <w:bookmarkEnd w:id="46"/>
      <w:r>
        <w:rPr/>
        <w:t>. Функция поиска. Вкладка НСИ «Фонды»</w:t>
      </w:r>
    </w:p>
    <w:p>
      <w:pPr>
        <w:pStyle w:val="Style14"/>
        <w:rPr/>
      </w:pPr>
      <w:r>
        <w:rPr/>
        <w:t xml:space="preserve">Для добавления фонда вручную предназначена кнопка </w:t>
      </w:r>
      <w:r>
        <w:rPr>
          <w:b/>
          <w:bCs/>
        </w:rPr>
        <w:t>«Добавить фонд»</w:t>
      </w:r>
      <w:r>
        <w:rPr/>
        <w:t>, расположенная в левой нижней части формы.</w:t>
      </w:r>
    </w:p>
    <w:p>
      <w:pPr>
        <w:pStyle w:val="Style14"/>
        <w:shd w:val="clear" w:color="auto" w:fill="FFFFD7"/>
        <w:rPr/>
      </w:pPr>
      <w:r>
        <w:rPr>
          <w:b/>
          <w:bCs/>
        </w:rPr>
        <w:t>Внимание:</w:t>
      </w:r>
      <w:r>
        <w:rPr/>
        <w:t xml:space="preserve"> Администратору не следует выполнять добавление фонда без согласования с технической поддержкой, так как ввод фонда с неверным номером может привести к сбою синхронизации данного справочника с подсистемой «ЦХЭД».</w:t>
      </w:r>
    </w:p>
    <w:p>
      <w:pPr>
        <w:pStyle w:val="Style14"/>
        <w:rPr/>
      </w:pPr>
      <w:r>
        <w:rPr/>
        <w:t xml:space="preserve">Для редактирования существующего фонда, необходимо нажать графическую кнопку редактирования в строке фонда (столбец </w:t>
      </w:r>
      <w:r>
        <w:rPr>
          <w:b/>
          <w:bCs/>
        </w:rPr>
        <w:t>«Редактировать»</w:t>
      </w:r>
      <w:r>
        <w:rPr/>
        <w:t>) (</w:t>
      </w:r>
      <w:r>
        <w:rPr/>
        <w:fldChar w:fldCharType="begin"/>
      </w:r>
      <w:r>
        <w:rPr/>
        <w:instrText xml:space="preserve"> REF _Ref184907505 \r \h </w:instrText>
      </w:r>
      <w:r>
        <w:rPr/>
        <w:fldChar w:fldCharType="separate"/>
      </w:r>
      <w:r>
        <w:rPr/>
        <w:t>Рисунок 2.8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5675630" cy="1905635"/>
            <wp:effectExtent l="0" t="0" r="0" b="0"/>
            <wp:docPr id="32" name="Изображение38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38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47" w:name="_Ref184907505"/>
      <w:r>
        <w:rPr/>
        <w:t>. Столбец «Редактировать» списка фондов</w:t>
      </w:r>
      <w:bookmarkEnd w:id="47"/>
    </w:p>
    <w:p>
      <w:pPr>
        <w:pStyle w:val="Style14"/>
        <w:shd w:val="clear" w:color="auto" w:fill="FFFFD7"/>
        <w:rPr/>
      </w:pPr>
      <w:r>
        <w:rPr>
          <w:b/>
          <w:bCs/>
        </w:rPr>
        <w:t>Внимание:</w:t>
      </w:r>
      <w:r>
        <w:rPr/>
        <w:t xml:space="preserve"> Редактирование параметров фонда можно выполнять только по согласованию с технической поддержкой, так как их изменение может привести к сбою синхронизации справочника с подсистемой «ЦХЭД». Администратор может изменить параметры </w:t>
      </w:r>
      <w:r>
        <w:rPr>
          <w:b/>
          <w:bCs/>
        </w:rPr>
        <w:t xml:space="preserve">«Актуальность» </w:t>
      </w:r>
      <w:r>
        <w:rPr/>
        <w:t xml:space="preserve">и </w:t>
      </w:r>
      <w:r>
        <w:rPr>
          <w:b/>
          <w:bCs/>
        </w:rPr>
        <w:t>«По умолчанию»</w:t>
      </w:r>
      <w:r>
        <w:rPr/>
        <w:t>.</w:t>
      </w:r>
    </w:p>
    <w:p>
      <w:pPr>
        <w:pStyle w:val="Style14"/>
        <w:rPr/>
      </w:pPr>
      <w:r>
        <w:rPr/>
        <w:t xml:space="preserve">После нажатия на графическую кнопку редактирования, откроется окно </w:t>
      </w:r>
      <w:r>
        <w:rPr>
          <w:b/>
          <w:bCs/>
        </w:rPr>
        <w:t xml:space="preserve">«Редактирование фонда» </w:t>
      </w:r>
      <w:r>
        <w:rPr/>
        <w:t xml:space="preserve">(Рисунок 2.9). 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3376295" cy="4336415"/>
            <wp:effectExtent l="0" t="0" r="0" b="0"/>
            <wp:docPr id="33" name="Изображение39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39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r>
        <w:rPr/>
        <w:t>. Окно «Редактирование фонда»</w:t>
      </w:r>
    </w:p>
    <w:p>
      <w:pPr>
        <w:pStyle w:val="Style14"/>
        <w:rPr/>
      </w:pPr>
      <w:r>
        <w:rPr/>
        <w:t xml:space="preserve">Администратор может изменить параметры </w:t>
      </w:r>
      <w:r>
        <w:rPr>
          <w:b/>
          <w:bCs/>
        </w:rPr>
        <w:t>«Актуальность»</w:t>
      </w:r>
      <w:r>
        <w:rPr/>
        <w:t xml:space="preserve"> и </w:t>
      </w:r>
      <w:r>
        <w:rPr>
          <w:b/>
          <w:bCs/>
        </w:rPr>
        <w:t>«По умолчанию»</w:t>
      </w:r>
      <w:r>
        <w:rPr/>
        <w:t>.</w:t>
      </w:r>
    </w:p>
    <w:p>
      <w:pPr>
        <w:pStyle w:val="Style14"/>
        <w:rPr/>
      </w:pPr>
      <w:r>
        <w:rPr/>
        <w:t xml:space="preserve">Если у фонда отключить маркер </w:t>
      </w:r>
      <w:r>
        <w:rPr>
          <w:b/>
          <w:bCs/>
        </w:rPr>
        <w:t>«Актуальность»</w:t>
      </w:r>
      <w:r>
        <w:rPr/>
        <w:t>, фонд будет недоступен для выбора в карточке сводной описи.</w:t>
      </w:r>
    </w:p>
    <w:p>
      <w:pPr>
        <w:pStyle w:val="Style14"/>
        <w:rPr/>
      </w:pPr>
      <w:r>
        <w:rPr/>
        <w:t xml:space="preserve">Если у фонда активировать маркер </w:t>
      </w:r>
      <w:r>
        <w:rPr>
          <w:b/>
          <w:bCs/>
        </w:rPr>
        <w:t>«По умолчанию»</w:t>
      </w:r>
      <w:r>
        <w:rPr/>
        <w:t>, этот фонд будет выбираться по умолчанию при создании новой карточки сводной описи и при отправке номенклатуры дел в ЦХЭД.</w:t>
      </w:r>
    </w:p>
    <w:p>
      <w:pPr>
        <w:pStyle w:val="Style14"/>
        <w:rPr/>
      </w:pPr>
      <w:r>
        <w:rPr/>
        <w:t xml:space="preserve">После завершения редактирования нажать кнопку </w:t>
      </w:r>
      <w:r>
        <w:rPr>
          <w:b/>
          <w:bCs/>
        </w:rPr>
        <w:t>«Сохранить»</w:t>
      </w:r>
      <w:r>
        <w:rPr/>
        <w:t xml:space="preserve"> для сохранения данных, либо кнопку </w:t>
      </w:r>
      <w:r>
        <w:rPr>
          <w:b/>
          <w:bCs/>
        </w:rPr>
        <w:t>«Отменить»</w:t>
      </w:r>
      <w:r>
        <w:rPr/>
        <w:t xml:space="preserve"> для отмены корректировки фонда.</w:t>
      </w:r>
    </w:p>
    <w:p>
      <w:pPr>
        <w:pStyle w:val="Style14"/>
        <w:rPr/>
      </w:pPr>
      <w:r>
        <w:rPr/>
        <w:t>Подтвердить действие во всплывающем окне (</w:t>
      </w:r>
      <w:r>
        <w:rPr/>
        <w:fldChar w:fldCharType="begin"/>
      </w:r>
      <w:r>
        <w:rPr/>
        <w:instrText xml:space="preserve"> REF __RefNumPara__17360_2825141506 \n \h </w:instrText>
      </w:r>
      <w:r>
        <w:rPr/>
        <w:fldChar w:fldCharType="separate"/>
      </w:r>
      <w:r>
        <w:rPr/>
        <w:t>Рисунок 2.10</w:t>
      </w:r>
      <w:r>
        <w:rPr/>
        <w:fldChar w:fldCharType="end"/>
      </w:r>
      <w:r>
        <w:rPr/>
        <w:t xml:space="preserve">). 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3001010" cy="1051560"/>
            <wp:effectExtent l="0" t="0" r="0" b="0"/>
            <wp:docPr id="34" name="Изображение40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40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48" w:name="__RefNumPara__17360_2825141506"/>
      <w:bookmarkEnd w:id="48"/>
      <w:r>
        <w:rPr/>
        <w:t>. Окно подтверждения</w:t>
      </w:r>
    </w:p>
    <w:p>
      <w:pPr>
        <w:pStyle w:val="21"/>
        <w:rPr/>
      </w:pPr>
      <w:bookmarkStart w:id="49" w:name="__RefHeading___Toc4761_2481601417_Копия_"/>
      <w:bookmarkStart w:id="50" w:name="__RefNumPara__39180_4109250701"/>
      <w:bookmarkStart w:id="51" w:name="_Toc184909309"/>
      <w:bookmarkStart w:id="52" w:name="_Ref184905869"/>
      <w:bookmarkStart w:id="53" w:name="_Ref184905861"/>
      <w:bookmarkStart w:id="54" w:name="_Ref184905534"/>
      <w:bookmarkEnd w:id="49"/>
      <w:bookmarkEnd w:id="50"/>
      <w:r>
        <w:rPr/>
        <w:t>Справочник «Участники согласований»</w:t>
      </w:r>
      <w:bookmarkEnd w:id="51"/>
      <w:bookmarkEnd w:id="52"/>
      <w:bookmarkEnd w:id="53"/>
      <w:bookmarkEnd w:id="54"/>
    </w:p>
    <w:p>
      <w:pPr>
        <w:pStyle w:val="Style14"/>
        <w:rPr/>
      </w:pPr>
      <w:r>
        <w:rPr/>
        <w:t xml:space="preserve">В процессе обработки в Подсистеме сводные описи дел и акты на уничтожение документов с истекшими сроками хранения должны быть согласованы членами экспертной комиссии (ЭК) ОИК (согласующими, председателем комиссии), а затем утверждены пользователем с системной ролью </w:t>
      </w:r>
      <w:r>
        <w:rPr>
          <w:b/>
          <w:bCs/>
        </w:rPr>
        <w:t>«Руководитель архива ОИК»</w:t>
      </w:r>
      <w:r>
        <w:rPr/>
        <w:t>.</w:t>
      </w:r>
    </w:p>
    <w:p>
      <w:pPr>
        <w:pStyle w:val="Style14"/>
        <w:rPr/>
      </w:pPr>
      <w:r>
        <w:rPr/>
        <w:t xml:space="preserve">Справочник </w:t>
      </w:r>
      <w:r>
        <w:rPr>
          <w:b/>
          <w:bCs/>
        </w:rPr>
        <w:t>«Участники согласований»</w:t>
      </w:r>
      <w:r>
        <w:rPr/>
        <w:t xml:space="preserve"> позволяет добавить и отредактировать справочник сотрудников, входящих в состав ЭК, выполняющих согласование сводных описей и актов уничтожения в Подсистеме, а также указать сотрудников, уполномоченных на утверждение актов уничтожения документов.</w:t>
      </w:r>
    </w:p>
    <w:p>
      <w:pPr>
        <w:pStyle w:val="Style14"/>
        <w:rPr/>
      </w:pPr>
      <w:r>
        <w:rPr/>
        <w:t xml:space="preserve">Редактирование справочника </w:t>
      </w:r>
      <w:r>
        <w:rPr>
          <w:b/>
          <w:bCs/>
        </w:rPr>
        <w:t>«Участники согласований»</w:t>
      </w:r>
      <w:r>
        <w:rPr/>
        <w:t xml:space="preserve"> доступно пользователям с системными ролями </w:t>
      </w:r>
      <w:r>
        <w:rPr>
          <w:b/>
          <w:bCs/>
        </w:rPr>
        <w:t>«Администратор»</w:t>
      </w:r>
      <w:r>
        <w:rPr/>
        <w:t xml:space="preserve">, </w:t>
      </w:r>
      <w:r>
        <w:rPr>
          <w:b/>
          <w:bCs/>
        </w:rPr>
        <w:t>«Архивист»</w:t>
      </w:r>
      <w:r>
        <w:rPr/>
        <w:t xml:space="preserve"> и </w:t>
      </w:r>
      <w:r>
        <w:rPr>
          <w:b/>
          <w:bCs/>
        </w:rPr>
        <w:t>«Составитель описи»</w:t>
      </w:r>
      <w:r>
        <w:rPr/>
        <w:t xml:space="preserve"> и также описано в курсе «Базовый курс по работе в подсистеме «Облачный архив» ГИС «Платформа ЦХЭД».</w:t>
      </w:r>
    </w:p>
    <w:p>
      <w:pPr>
        <w:pStyle w:val="Style14"/>
        <w:shd w:val="clear" w:color="auto" w:fill="DDDDDD"/>
        <w:rPr/>
      </w:pPr>
      <w:r>
        <w:rPr>
          <w:b/>
          <w:bCs/>
          <w:i/>
          <w:iCs/>
        </w:rPr>
        <w:t>Примечание:</w:t>
      </w:r>
      <w:r>
        <w:rPr/>
        <w:t xml:space="preserve"> </w:t>
      </w:r>
      <w:r>
        <w:rPr>
          <w:i/>
          <w:iCs/>
        </w:rPr>
        <w:t xml:space="preserve">Если в ОИК создана Центральная экспертная комиссия (ЦЭК), то в справочник </w:t>
      </w:r>
      <w:r>
        <w:rPr>
          <w:b/>
          <w:bCs/>
          <w:i/>
          <w:iCs/>
        </w:rPr>
        <w:t xml:space="preserve">«Участники согласований» </w:t>
      </w:r>
      <w:r>
        <w:rPr>
          <w:i/>
          <w:iCs/>
        </w:rPr>
        <w:t>в состав ЭК ОИК включаются члены ЦЭК ОИК.</w:t>
      </w:r>
    </w:p>
    <w:p>
      <w:pPr>
        <w:pStyle w:val="Style14"/>
        <w:rPr/>
      </w:pPr>
      <w:r>
        <w:rPr/>
        <w:t xml:space="preserve">Структура вкладки </w:t>
      </w:r>
      <w:r>
        <w:rPr>
          <w:b/>
          <w:bCs/>
        </w:rPr>
        <w:t>«Участники согласований»</w:t>
      </w:r>
      <w:r>
        <w:rPr/>
        <w:t xml:space="preserve"> аналогична структуре предыдущих справочников, описанных в п. </w:t>
      </w:r>
      <w:r>
        <w:rPr/>
        <w:fldChar w:fldCharType="begin"/>
      </w:r>
      <w:r>
        <w:rPr/>
        <w:instrText xml:space="preserve"> REF __RefNumPara__122452_1253639267 \n \h </w:instrText>
      </w:r>
      <w:r>
        <w:rPr/>
        <w:fldChar w:fldCharType="separate"/>
      </w:r>
      <w:r>
        <w:rPr/>
        <w:t>2.1</w:t>
      </w:r>
      <w:r>
        <w:rPr/>
        <w:fldChar w:fldCharType="end"/>
      </w:r>
      <w:r>
        <w:rPr/>
        <w:t xml:space="preserve">, </w:t>
      </w:r>
      <w:r>
        <w:rPr/>
        <w:fldChar w:fldCharType="begin"/>
      </w:r>
      <w:r>
        <w:rPr/>
        <w:instrText xml:space="preserve"> REF __RefNumPara__122454_1253639267 \n \h </w:instrText>
      </w:r>
      <w:r>
        <w:rPr/>
        <w:fldChar w:fldCharType="separate"/>
      </w:r>
      <w:r>
        <w:rPr/>
        <w:t>2.2</w:t>
      </w:r>
      <w:r>
        <w:rPr/>
        <w:fldChar w:fldCharType="end"/>
      </w:r>
      <w:r>
        <w:rPr/>
        <w:t xml:space="preserve">, </w:t>
      </w:r>
      <w:r>
        <w:rPr/>
        <w:fldChar w:fldCharType="begin"/>
      </w:r>
      <w:r>
        <w:rPr/>
        <w:instrText xml:space="preserve"> REF __RefNumPara__122617_1253639267 \n \h </w:instrText>
      </w:r>
      <w:r>
        <w:rPr/>
        <w:fldChar w:fldCharType="separate"/>
      </w:r>
      <w:r>
        <w:rPr/>
        <w:t>2.3</w:t>
      </w:r>
      <w:r>
        <w:rPr/>
        <w:fldChar w:fldCharType="end"/>
      </w:r>
      <w:r>
        <w:rPr/>
        <w:t>.</w:t>
      </w:r>
    </w:p>
    <w:p>
      <w:pPr>
        <w:pStyle w:val="Style14"/>
        <w:rPr/>
      </w:pPr>
      <w:r>
        <w:rPr/>
        <w:t xml:space="preserve">Список участников согласований отображается в виде таблицы </w:t>
        <w:br/>
        <w:t>(</w:t>
      </w:r>
      <w:r>
        <w:rPr/>
        <w:fldChar w:fldCharType="begin"/>
      </w:r>
      <w:r>
        <w:rPr/>
        <w:instrText xml:space="preserve"> REF __RefNumPara__122803_1253639267 \n \h </w:instrText>
      </w:r>
      <w:r>
        <w:rPr/>
        <w:fldChar w:fldCharType="separate"/>
      </w:r>
      <w:r>
        <w:rPr/>
        <w:t>Рисунок 2.11</w:t>
      </w:r>
      <w:r>
        <w:rPr/>
        <w:fldChar w:fldCharType="end"/>
      </w:r>
      <w:r>
        <w:rPr/>
        <w:t xml:space="preserve">), </w:t>
      </w:r>
      <w:r>
        <w:rPr>
          <w:szCs w:val="28"/>
          <w:lang w:eastAsia="ru-RU"/>
        </w:rPr>
        <w:t>заголовки столбцов которой содержат следующие наименования параметров: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«ФИО»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«Должность»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«Роль»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«Актуальность»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«Редактировать»</w:t>
      </w:r>
      <w:r>
        <w:rPr/>
        <w:t>.</w:t>
      </w:r>
    </w:p>
    <w:p>
      <w:pPr>
        <w:pStyle w:val="Style20"/>
        <w:rPr/>
      </w:pPr>
      <w:r>
        <w:rPr/>
        <w:drawing>
          <wp:inline distT="0" distB="0" distL="0" distR="0">
            <wp:extent cx="5760085" cy="2272665"/>
            <wp:effectExtent l="0" t="0" r="0" b="0"/>
            <wp:docPr id="35" name="Изображение7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79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55" w:name="__RefNumPara__122803_1253639267"/>
      <w:bookmarkEnd w:id="55"/>
      <w:r>
        <w:rPr/>
        <w:t>. Вкладка НСИ «Участники согласований»</w:t>
      </w:r>
    </w:p>
    <w:p>
      <w:pPr>
        <w:pStyle w:val="Style14"/>
        <w:rPr/>
      </w:pPr>
      <w:r>
        <w:rPr/>
        <w:t>Форма вкладки состоит из двух блоков:</w:t>
      </w:r>
    </w:p>
    <w:p>
      <w:pPr>
        <w:pStyle w:val="Style15"/>
        <w:numPr>
          <w:ilvl w:val="0"/>
          <w:numId w:val="2"/>
        </w:numPr>
        <w:rPr/>
      </w:pPr>
      <w:r>
        <w:rPr/>
        <w:t xml:space="preserve">Поисковая строка </w:t>
      </w:r>
      <w:r>
        <w:rPr>
          <w:b/>
          <w:bCs/>
        </w:rPr>
        <w:t>(1)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/>
        <w:t xml:space="preserve">Полный список участников согласований, созданных в Подсистеме </w:t>
      </w:r>
      <w:r>
        <w:rPr>
          <w:b/>
          <w:bCs/>
        </w:rPr>
        <w:t>(2)</w:t>
      </w:r>
      <w:r>
        <w:rPr/>
        <w:t>.</w:t>
      </w:r>
    </w:p>
    <w:p>
      <w:pPr>
        <w:pStyle w:val="Style14"/>
        <w:rPr/>
      </w:pPr>
      <w:r>
        <w:rPr/>
        <w:t xml:space="preserve">Функция быстрого поиска реализована по параметру </w:t>
      </w:r>
      <w:r>
        <w:rPr>
          <w:b/>
          <w:bCs/>
        </w:rPr>
        <w:t>«ФИО»</w:t>
      </w:r>
      <w:r>
        <w:rPr/>
        <w:t xml:space="preserve">, а функция расширенного поиска - по параметру </w:t>
      </w:r>
      <w:r>
        <w:rPr>
          <w:b/>
          <w:bCs/>
        </w:rPr>
        <w:t>«Актуальность»</w:t>
      </w:r>
      <w:r>
        <w:rPr/>
        <w:t xml:space="preserve">. Также, по каждому столбцу таблицы можно выполнить сортировку – по возрастанию значения параметра </w:t>
      </w:r>
      <w:r>
        <w:rPr/>
        <w:drawing>
          <wp:inline distT="0" distB="0" distL="0" distR="0">
            <wp:extent cx="200025" cy="228600"/>
            <wp:effectExtent l="0" t="0" r="0" b="0"/>
            <wp:docPr id="36" name="Изображение78 Копия 2 Копия 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78 Копия 2 Копия 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или убыванию </w:t>
      </w:r>
      <w:r>
        <w:rPr/>
        <w:drawing>
          <wp:inline distT="0" distB="0" distL="0" distR="0">
            <wp:extent cx="217170" cy="217170"/>
            <wp:effectExtent l="0" t="0" r="0" b="0"/>
            <wp:docPr id="37" name="Изображение90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90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Style14"/>
        <w:rPr/>
      </w:pPr>
      <w:r>
        <w:rPr/>
        <w:t xml:space="preserve">Для добавления участника согласования/утверждения необходимо нажать кнопку </w:t>
      </w:r>
      <w:r>
        <w:rPr>
          <w:b/>
          <w:bCs/>
        </w:rPr>
        <w:t>«Добавить подписанта»</w:t>
      </w:r>
      <w:r>
        <w:rPr/>
        <w:t xml:space="preserve"> в левом нижнем углу экранной формы </w:t>
        <w:br/>
        <w:t xml:space="preserve">(см. </w:t>
      </w:r>
      <w:r>
        <w:rPr/>
        <w:fldChar w:fldCharType="begin"/>
      </w:r>
      <w:r>
        <w:rPr/>
        <w:instrText xml:space="preserve"> REF __RefNumPara__122803_1253639267 \n \h </w:instrText>
      </w:r>
      <w:r>
        <w:rPr/>
        <w:fldChar w:fldCharType="separate"/>
      </w:r>
      <w:r>
        <w:rPr/>
        <w:t>Рисунок 2.11</w:t>
      </w:r>
      <w:r>
        <w:rPr/>
        <w:fldChar w:fldCharType="end"/>
      </w:r>
      <w:r>
        <w:rPr/>
        <w:t>).</w:t>
      </w:r>
    </w:p>
    <w:p>
      <w:pPr>
        <w:pStyle w:val="Style14"/>
        <w:rPr/>
      </w:pPr>
      <w:r>
        <w:rPr/>
        <w:t>В появившемся модальном окне (</w:t>
      </w:r>
      <w:r>
        <w:rPr/>
        <w:fldChar w:fldCharType="begin"/>
      </w:r>
      <w:r>
        <w:rPr/>
        <w:instrText xml:space="preserve"> REF __RefNumPara__146230_1253639267 \n \h </w:instrText>
      </w:r>
      <w:r>
        <w:rPr/>
        <w:fldChar w:fldCharType="separate"/>
      </w:r>
      <w:r>
        <w:rPr/>
        <w:t>Рисунок 2.12</w:t>
      </w:r>
      <w:r>
        <w:rPr/>
        <w:fldChar w:fldCharType="end"/>
      </w:r>
      <w:r>
        <w:rPr/>
        <w:t>) заполнить поля. Заполнение всех полей является обязательным условием.</w:t>
      </w:r>
    </w:p>
    <w:p>
      <w:pPr>
        <w:pStyle w:val="Style20"/>
        <w:rPr/>
      </w:pPr>
      <w:r>
        <w:rPr/>
        <w:drawing>
          <wp:inline distT="0" distB="0" distL="0" distR="0">
            <wp:extent cx="4092575" cy="3517900"/>
            <wp:effectExtent l="0" t="0" r="0" b="0"/>
            <wp:docPr id="38" name="Изображение29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Изображение290" descr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56" w:name="__RefNumPara__146230_1253639267"/>
      <w:bookmarkEnd w:id="56"/>
      <w:r>
        <w:rPr/>
        <w:t>. Модальное окно «Добавление подписанта»</w:t>
      </w:r>
    </w:p>
    <w:p>
      <w:pPr>
        <w:pStyle w:val="Style14"/>
        <w:rPr/>
      </w:pPr>
      <w:r>
        <w:rPr/>
        <w:t xml:space="preserve">Для сохранения нажать кнопку </w:t>
      </w:r>
      <w:r>
        <w:rPr>
          <w:b/>
          <w:bCs/>
        </w:rPr>
        <w:t>«Сохранить»</w:t>
      </w:r>
      <w:r>
        <w:rPr/>
        <w:t xml:space="preserve">. </w:t>
      </w:r>
    </w:p>
    <w:p>
      <w:pPr>
        <w:pStyle w:val="Style14"/>
        <w:rPr/>
      </w:pPr>
      <w:r>
        <w:rPr/>
        <w:t xml:space="preserve">Для отмены сохранения участника согласования нажать кнопку </w:t>
      </w:r>
      <w:r>
        <w:rPr>
          <w:b/>
          <w:bCs/>
        </w:rPr>
        <w:t>«Отменить»</w:t>
      </w:r>
      <w:r>
        <w:rPr/>
        <w:t xml:space="preserve"> и подтвердить действие во всплывающем окне (</w:t>
      </w:r>
      <w:r>
        <w:rPr/>
        <w:fldChar w:fldCharType="begin"/>
      </w:r>
      <w:r>
        <w:rPr/>
        <w:instrText xml:space="preserve"> REF __RefNumPara__146232_1253639267 \n \h </w:instrText>
      </w:r>
      <w:r>
        <w:rPr/>
        <w:fldChar w:fldCharType="separate"/>
      </w:r>
      <w:r>
        <w:rPr/>
        <w:t>Рисунок 2.13</w:t>
      </w:r>
      <w:r>
        <w:rPr/>
        <w:fldChar w:fldCharType="end"/>
      </w:r>
      <w:r>
        <w:rPr/>
        <w:t xml:space="preserve">) 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3841115" cy="1475105"/>
            <wp:effectExtent l="0" t="0" r="0" b="0"/>
            <wp:docPr id="39" name="Изображение43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зображение43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57" w:name="__RefNumPara__146232_1253639267"/>
      <w:bookmarkEnd w:id="57"/>
      <w:r>
        <w:rPr/>
        <w:t>. Всплывающее окно сохранения изменений</w:t>
      </w:r>
    </w:p>
    <w:p>
      <w:pPr>
        <w:pStyle w:val="Style14"/>
        <w:rPr/>
      </w:pPr>
      <w:r>
        <w:rPr/>
        <w:t xml:space="preserve">Для редактирования участника в списке подписантов требуется нажать графическую кнопку </w:t>
      </w:r>
      <w:r>
        <w:rPr/>
        <w:drawing>
          <wp:inline distT="0" distB="0" distL="0" distR="0">
            <wp:extent cx="257175" cy="238125"/>
            <wp:effectExtent l="0" t="0" r="0" b="0"/>
            <wp:docPr id="40" name="Изображение9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92" descr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напротив выбранного участника (графа </w:t>
      </w:r>
      <w:r>
        <w:rPr>
          <w:b/>
          <w:bCs/>
        </w:rPr>
        <w:t>«Редактировать»</w:t>
      </w:r>
      <w:r>
        <w:rPr/>
        <w:t>) (</w:t>
      </w:r>
      <w:r>
        <w:rPr/>
        <w:fldChar w:fldCharType="begin"/>
      </w:r>
      <w:r>
        <w:rPr/>
        <w:instrText xml:space="preserve"> REF __RefNumPara__146234_1253639267 \n \h </w:instrText>
      </w:r>
      <w:r>
        <w:rPr/>
        <w:fldChar w:fldCharType="separate"/>
      </w:r>
      <w:r>
        <w:rPr/>
        <w:t>Рисунок 2.14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5989320" cy="2366010"/>
            <wp:effectExtent l="0" t="0" r="0" b="0"/>
            <wp:docPr id="41" name="Изображение44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44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5651" t="6012" r="3564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58" w:name="__RefNumPara__146234_1253639267"/>
      <w:bookmarkEnd w:id="58"/>
      <w:r>
        <w:rPr/>
        <w:t>. Графа «Редактировать»</w:t>
      </w:r>
    </w:p>
    <w:p>
      <w:pPr>
        <w:pStyle w:val="Style14"/>
        <w:rPr/>
      </w:pPr>
      <w:r>
        <w:rPr/>
        <w:t xml:space="preserve">В модальном окне </w:t>
      </w:r>
      <w:r>
        <w:rPr>
          <w:b/>
          <w:bCs/>
        </w:rPr>
        <w:t>«Редактирование подписантов»</w:t>
      </w:r>
      <w:r>
        <w:rPr/>
        <w:t xml:space="preserve"> (Рисунок 2.15) внести необходимые корректировки. </w:t>
      </w:r>
    </w:p>
    <w:p>
      <w:pPr>
        <w:pStyle w:val="Style20"/>
        <w:rPr/>
      </w:pPr>
      <w:r>
        <w:rPr/>
        <w:drawing>
          <wp:inline distT="0" distB="0" distL="0" distR="0">
            <wp:extent cx="3365500" cy="4826000"/>
            <wp:effectExtent l="0" t="0" r="0" b="0"/>
            <wp:docPr id="42" name="Изображение29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294" descr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r>
        <w:rPr/>
        <w:t>. Модальное окно «Редактирование подписантов»</w:t>
      </w:r>
    </w:p>
    <w:p>
      <w:pPr>
        <w:pStyle w:val="Style14"/>
        <w:rPr/>
      </w:pPr>
      <w:r>
        <w:rPr/>
        <w:t xml:space="preserve">Нажать кнопку </w:t>
      </w:r>
      <w:r>
        <w:rPr>
          <w:b/>
          <w:bCs/>
        </w:rPr>
        <w:t>«Сохранить»</w:t>
      </w:r>
      <w:r>
        <w:rPr/>
        <w:t xml:space="preserve"> для сохранения скорректированной информации, либо кнопку </w:t>
      </w:r>
      <w:r>
        <w:rPr>
          <w:b/>
          <w:bCs/>
        </w:rPr>
        <w:t>«Отменить»</w:t>
      </w:r>
      <w:r>
        <w:rPr/>
        <w:t xml:space="preserve"> для отмены сохранения.</w:t>
      </w:r>
    </w:p>
    <w:p>
      <w:pPr>
        <w:pStyle w:val="Style14"/>
        <w:rPr/>
      </w:pPr>
      <w:r>
        <w:rPr/>
        <w:t>Подтвердить действие во всплывающем окне (</w:t>
      </w:r>
      <w:r>
        <w:rPr/>
        <w:fldChar w:fldCharType="begin"/>
      </w:r>
      <w:r>
        <w:rPr/>
        <w:instrText xml:space="preserve"> REF __RefNumPara__146429_1253639267 \n \h </w:instrText>
      </w:r>
      <w:r>
        <w:rPr/>
        <w:fldChar w:fldCharType="separate"/>
      </w:r>
      <w:r>
        <w:rPr/>
        <w:t>Рисунок 2.16</w:t>
      </w:r>
      <w:r>
        <w:rPr/>
        <w:fldChar w:fldCharType="end"/>
      </w:r>
      <w:r>
        <w:rPr/>
        <w:t xml:space="preserve">). </w:t>
      </w:r>
    </w:p>
    <w:p>
      <w:pPr>
        <w:pStyle w:val="Style20"/>
        <w:rPr/>
      </w:pPr>
      <w:r>
        <w:rPr/>
        <w:drawing>
          <wp:inline distT="0" distB="0" distL="0" distR="0">
            <wp:extent cx="2486660" cy="886460"/>
            <wp:effectExtent l="0" t="0" r="0" b="0"/>
            <wp:docPr id="43" name="Изображение46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46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59" w:name="__RefNumPara__146429_1253639267"/>
      <w:bookmarkEnd w:id="59"/>
      <w:r>
        <w:rPr/>
        <w:t>. Всплывающее окно сохранения изменений</w:t>
      </w:r>
    </w:p>
    <w:p>
      <w:pPr>
        <w:pStyle w:val="21"/>
        <w:rPr/>
      </w:pPr>
      <w:bookmarkStart w:id="60" w:name="__RefHeading___Toc4763_2481601417_Копия_"/>
      <w:bookmarkStart w:id="61" w:name="_Toc184909310"/>
      <w:bookmarkEnd w:id="60"/>
      <w:r>
        <w:rPr/>
        <w:t>Справочник «Скомпрометированные пароли»</w:t>
      </w:r>
      <w:bookmarkEnd w:id="61"/>
    </w:p>
    <w:p>
      <w:pPr>
        <w:pStyle w:val="Style14"/>
        <w:rPr/>
      </w:pPr>
      <w:r>
        <w:rPr/>
        <w:t xml:space="preserve">Вкладка </w:t>
      </w:r>
      <w:r>
        <w:rPr>
          <w:b/>
          <w:bCs/>
        </w:rPr>
        <w:t>«Скомпрометированные пароли»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__RefNumPara__146812_1253639267 \n \h </w:instrText>
      </w:r>
      <w:r>
        <w:rPr/>
        <w:fldChar w:fldCharType="separate"/>
      </w:r>
      <w:r>
        <w:rPr/>
        <w:t>Рисунок 2.17</w:t>
      </w:r>
      <w:r>
        <w:rPr/>
        <w:fldChar w:fldCharType="end"/>
      </w:r>
      <w:r>
        <w:rPr/>
        <w:t>) содержит перечень паролей, попавших в открытый доступ. При установке пароля Подсистема автоматически производит проверку на наличие его в справочнике скомпрометированных паролей и не дает пользователю установить небезопасный пароль.</w:t>
      </w:r>
    </w:p>
    <w:p>
      <w:pPr>
        <w:pStyle w:val="Style20"/>
        <w:rPr/>
      </w:pPr>
      <w:r>
        <w:rPr/>
        <w:drawing>
          <wp:inline distT="0" distB="0" distL="0" distR="0">
            <wp:extent cx="6210300" cy="1479550"/>
            <wp:effectExtent l="0" t="0" r="0" b="0"/>
            <wp:docPr id="44" name="Изображение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зображение80" descr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62" w:name="__RefNumPara__146812_1253639267"/>
      <w:bookmarkEnd w:id="62"/>
      <w:r>
        <w:rPr/>
        <w:t>. Вкладка НСИ «Скомпрометированные пароли»</w:t>
      </w:r>
    </w:p>
    <w:p>
      <w:pPr>
        <w:pStyle w:val="Style14"/>
        <w:rPr/>
      </w:pPr>
      <w:r>
        <w:rPr>
          <w:szCs w:val="28"/>
          <w:lang w:eastAsia="ru-RU"/>
        </w:rPr>
        <w:t xml:space="preserve">В верхней части экранной формы расположена поисковая строка </w:t>
      </w:r>
      <w:r>
        <w:rPr>
          <w:b/>
          <w:bCs/>
          <w:szCs w:val="28"/>
          <w:lang w:eastAsia="ru-RU"/>
        </w:rPr>
        <w:t xml:space="preserve">(1). </w:t>
      </w:r>
      <w:r>
        <w:rPr>
          <w:szCs w:val="28"/>
          <w:lang w:eastAsia="ru-RU"/>
        </w:rPr>
        <w:t>Функция поиска осуществляется по наименованию.</w:t>
      </w:r>
    </w:p>
    <w:p>
      <w:pPr>
        <w:pStyle w:val="Style14"/>
        <w:rPr>
          <w:szCs w:val="28"/>
          <w:lang w:eastAsia="ru-RU"/>
        </w:rPr>
      </w:pPr>
      <w:r>
        <w:rPr>
          <w:szCs w:val="28"/>
          <w:lang w:eastAsia="ru-RU"/>
        </w:rPr>
        <w:t xml:space="preserve">Полный список скомпрометированных паролей отображается в виде таблицы </w:t>
      </w:r>
      <w:r>
        <w:rPr>
          <w:b/>
          <w:bCs/>
          <w:szCs w:val="28"/>
          <w:lang w:eastAsia="ru-RU"/>
        </w:rPr>
        <w:t>(2),</w:t>
      </w:r>
      <w:r>
        <w:rPr>
          <w:szCs w:val="28"/>
          <w:lang w:eastAsia="ru-RU"/>
        </w:rPr>
        <w:t xml:space="preserve"> заголовки столбцов которой содержат следующие наименования параметров: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«Идентификатор»</w:t>
      </w:r>
      <w:r>
        <w:rPr/>
        <w:t>;</w:t>
      </w:r>
    </w:p>
    <w:p>
      <w:pPr>
        <w:pStyle w:val="Style15"/>
        <w:numPr>
          <w:ilvl w:val="0"/>
          <w:numId w:val="2"/>
        </w:numPr>
        <w:ind w:firstLine="709" w:left="0"/>
        <w:rPr/>
      </w:pPr>
      <w:r>
        <w:rPr>
          <w:b/>
          <w:bCs/>
        </w:rPr>
        <w:t>«Пароль»</w:t>
      </w:r>
      <w:r>
        <w:rPr/>
        <w:t>;</w:t>
      </w:r>
    </w:p>
    <w:p>
      <w:pPr>
        <w:pStyle w:val="Style15"/>
        <w:numPr>
          <w:ilvl w:val="0"/>
          <w:numId w:val="2"/>
        </w:numPr>
        <w:ind w:firstLine="709" w:left="0"/>
        <w:rPr/>
      </w:pPr>
      <w:r>
        <w:rPr>
          <w:b/>
          <w:bCs/>
        </w:rPr>
        <w:t>«Hash»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«Редактировать»</w:t>
      </w:r>
      <w:r>
        <w:rPr/>
        <w:t>.</w:t>
      </w:r>
    </w:p>
    <w:p>
      <w:pPr>
        <w:pStyle w:val="Style14"/>
        <w:rPr/>
      </w:pPr>
      <w:r>
        <w:rPr/>
        <w:t xml:space="preserve">Также, по каждому столбцу таблицы можно выполнить сортировку – по возрастанию значения параметра </w:t>
      </w:r>
      <w:r>
        <w:rPr/>
        <w:drawing>
          <wp:inline distT="0" distB="0" distL="0" distR="0">
            <wp:extent cx="200025" cy="228600"/>
            <wp:effectExtent l="0" t="0" r="0" b="0"/>
            <wp:docPr id="45" name="Изображение78 Копия 2 Копия 1 Копия 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Изображение78 Копия 2 Копия 1 Копия 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или убыванию </w:t>
      </w:r>
      <w:r>
        <w:rPr/>
        <w:drawing>
          <wp:inline distT="0" distB="0" distL="0" distR="0">
            <wp:extent cx="217170" cy="217170"/>
            <wp:effectExtent l="0" t="0" r="0" b="0"/>
            <wp:docPr id="46" name="Изображение90 Копия 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Изображение90 Копия 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Style14"/>
        <w:rPr/>
      </w:pPr>
      <w:r>
        <w:rPr/>
        <w:t xml:space="preserve">Для добавления пароля в список скомпрометированных паролей требуется нажать кнопку </w:t>
      </w:r>
      <w:r>
        <w:rPr>
          <w:b/>
          <w:bCs/>
        </w:rPr>
        <w:t>«Добавить пароль»</w:t>
      </w:r>
      <w:r>
        <w:rPr/>
        <w:t xml:space="preserve"> в нижней левой части экрана </w:t>
        <w:br/>
        <w:t xml:space="preserve">(см. </w:t>
      </w:r>
      <w:r>
        <w:rPr/>
        <w:fldChar w:fldCharType="begin"/>
      </w:r>
      <w:r>
        <w:rPr/>
        <w:instrText xml:space="preserve"> REF __RefNumPara__146812_1253639267 \n \h </w:instrText>
      </w:r>
      <w:r>
        <w:rPr/>
        <w:fldChar w:fldCharType="separate"/>
      </w:r>
      <w:r>
        <w:rPr/>
        <w:t>Рисунок 2.17</w:t>
      </w:r>
      <w:r>
        <w:rPr/>
        <w:fldChar w:fldCharType="end"/>
      </w:r>
      <w:r>
        <w:rPr/>
        <w:t>).</w:t>
      </w:r>
    </w:p>
    <w:p>
      <w:pPr>
        <w:pStyle w:val="Style14"/>
        <w:rPr/>
      </w:pPr>
      <w:r>
        <w:rPr/>
        <w:t>В появившемся модальном окне ввести пароль (Рисунок 2.18).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3870325" cy="1410335"/>
            <wp:effectExtent l="0" t="0" r="0" b="0"/>
            <wp:docPr id="47" name="Изображение48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Изображение48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34313" t="37271" r="34325" b="37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r>
        <w:rPr/>
        <w:t>. Создание скопрометированного пароля</w:t>
      </w:r>
    </w:p>
    <w:p>
      <w:pPr>
        <w:pStyle w:val="Style14"/>
        <w:rPr/>
      </w:pPr>
      <w:r>
        <w:rPr/>
        <w:t xml:space="preserve">После внесения данных требуется нажать кнопку </w:t>
      </w:r>
      <w:r>
        <w:rPr>
          <w:b/>
          <w:bCs/>
        </w:rPr>
        <w:t>«Сохранить»</w:t>
      </w:r>
      <w:r>
        <w:rPr/>
        <w:t xml:space="preserve">, либо кнопку </w:t>
      </w:r>
      <w:r>
        <w:rPr>
          <w:b/>
          <w:bCs/>
        </w:rPr>
        <w:t>«Отменить»</w:t>
      </w:r>
      <w:r>
        <w:rPr/>
        <w:t xml:space="preserve"> для отмены сохранения скомпрометированного пароля.</w:t>
      </w:r>
    </w:p>
    <w:p>
      <w:pPr>
        <w:pStyle w:val="21"/>
        <w:rPr/>
      </w:pPr>
      <w:bookmarkStart w:id="63" w:name="__RefHeading___Toc4765_2481601417_Копия_"/>
      <w:bookmarkStart w:id="64" w:name="_Toc184909311"/>
      <w:bookmarkEnd w:id="63"/>
      <w:r>
        <w:rPr/>
        <w:t>Справочник «Подразделения»</w:t>
      </w:r>
      <w:bookmarkEnd w:id="64"/>
    </w:p>
    <w:p>
      <w:pPr>
        <w:pStyle w:val="Style14"/>
        <w:rPr/>
      </w:pPr>
      <w:r>
        <w:rPr/>
        <w:t xml:space="preserve">Во вкладке </w:t>
      </w:r>
      <w:r>
        <w:rPr>
          <w:b/>
          <w:bCs/>
        </w:rPr>
        <w:t>«Подразделения»</w:t>
      </w:r>
      <w:r>
        <w:rPr/>
        <w:t xml:space="preserve"> необходимо ввести информацию о перечне подразделений ОИК в соответствии с утвержденной структурой организации (</w:t>
      </w:r>
      <w:r>
        <w:rPr/>
        <w:fldChar w:fldCharType="begin"/>
      </w:r>
      <w:r>
        <w:rPr/>
        <w:instrText xml:space="preserve"> REF __RefNumPara__147283_1253639267 \n \h </w:instrText>
      </w:r>
      <w:r>
        <w:rPr/>
        <w:fldChar w:fldCharType="separate"/>
      </w:r>
      <w:r>
        <w:rPr/>
        <w:t>Рисунок 2.19</w:t>
      </w:r>
      <w:r>
        <w:rPr/>
        <w:fldChar w:fldCharType="end"/>
      </w:r>
      <w:r>
        <w:rPr/>
        <w:t xml:space="preserve">). </w:t>
      </w:r>
    </w:p>
    <w:p>
      <w:pPr>
        <w:pStyle w:val="Style14"/>
        <w:rPr/>
      </w:pPr>
      <w:r>
        <w:rPr/>
        <w:t xml:space="preserve">Каждый пользователь Подсистемы может быть привязан к одному или нескольким подразделениям из данного справочника (ведение пользователей будет описано далее в разделе </w:t>
      </w:r>
      <w:r>
        <w:rPr/>
        <w:fldChar w:fldCharType="begin"/>
      </w:r>
      <w:r>
        <w:rPr/>
        <w:instrText xml:space="preserve"> REF __RefNumPara__5865_3470983174 \n \h </w:instrText>
      </w:r>
      <w:r>
        <w:rPr/>
        <w:fldChar w:fldCharType="separate"/>
      </w:r>
      <w:r>
        <w:rPr/>
        <w:t>3.1</w:t>
      </w:r>
      <w:r>
        <w:rPr/>
        <w:fldChar w:fldCharType="end"/>
      </w:r>
      <w:r>
        <w:rPr/>
        <w:t xml:space="preserve"> </w:t>
      </w:r>
      <w:r>
        <w:rPr/>
        <w:fldChar w:fldCharType="begin"/>
      </w:r>
      <w:r>
        <w:rPr/>
        <w:instrText xml:space="preserve"> REF __RefNumPara__5865_3470983174 \h </w:instrText>
      </w:r>
      <w:r>
        <w:rPr/>
        <w:fldChar w:fldCharType="separate"/>
      </w:r>
      <w:r>
        <w:rPr/>
      </w:r>
      <w:r>
        <w:rPr/>
        <w:fldChar w:fldCharType="end"/>
      </w:r>
      <w:r>
        <w:rPr/>
        <w:t xml:space="preserve">). Также разделы номенклатур дел могут быть привязаны к подразделениям. </w:t>
      </w:r>
    </w:p>
    <w:p>
      <w:pPr>
        <w:pStyle w:val="Style14"/>
        <w:rPr/>
      </w:pPr>
      <w:r>
        <w:rPr/>
        <w:t>Подразделения позволяют разграничить видимость объектов между сотрудниками из разных подразделений. Если у пользователя задано подразделение, то пользователь видит в Подсистеме только объекты (разделы номенклатур, дела, документы, описи и акты), относящиеся к этому подразделению.</w:t>
      </w:r>
    </w:p>
    <w:p>
      <w:pPr>
        <w:pStyle w:val="Style20"/>
        <w:rPr/>
      </w:pPr>
      <w:r>
        <w:rPr/>
        <w:drawing>
          <wp:inline distT="0" distB="0" distL="0" distR="0">
            <wp:extent cx="6210300" cy="1864360"/>
            <wp:effectExtent l="0" t="0" r="0" b="0"/>
            <wp:docPr id="48" name="Изображение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Изображение82" descr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65" w:name="__RefNumPara__147283_1253639267"/>
      <w:bookmarkEnd w:id="65"/>
      <w:r>
        <w:rPr/>
        <w:t>. Вкладка НСИ «Подразделения»</w:t>
      </w:r>
    </w:p>
    <w:p>
      <w:pPr>
        <w:pStyle w:val="Style14"/>
        <w:rPr/>
      </w:pPr>
      <w:r>
        <w:rPr>
          <w:szCs w:val="28"/>
          <w:lang w:eastAsia="ru-RU"/>
        </w:rPr>
        <w:t xml:space="preserve">В верхней части экранной формы расположена поисковая строка </w:t>
      </w:r>
      <w:r>
        <w:rPr>
          <w:b/>
          <w:bCs/>
          <w:szCs w:val="28"/>
          <w:lang w:eastAsia="ru-RU"/>
        </w:rPr>
        <w:t xml:space="preserve">(1). </w:t>
      </w:r>
      <w:r>
        <w:rPr>
          <w:szCs w:val="28"/>
          <w:lang w:eastAsia="ru-RU"/>
        </w:rPr>
        <w:t>Функция поиска осуществляется по наименованию подразделения.</w:t>
      </w:r>
    </w:p>
    <w:p>
      <w:pPr>
        <w:pStyle w:val="Style14"/>
        <w:rPr/>
      </w:pPr>
      <w:r>
        <w:rPr/>
        <w:t xml:space="preserve">Полный список подразделений отображается в виде таблицы </w:t>
      </w:r>
      <w:r>
        <w:rPr>
          <w:b/>
          <w:bCs/>
        </w:rPr>
        <w:t>(2),</w:t>
      </w:r>
      <w:r>
        <w:rPr/>
        <w:t xml:space="preserve"> заголовки столбцов которой содержат следующие наименования параметров: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«Наименование»</w:t>
      </w:r>
      <w:r>
        <w:rPr/>
        <w:t>;</w:t>
      </w:r>
    </w:p>
    <w:p>
      <w:pPr>
        <w:pStyle w:val="Style15"/>
        <w:numPr>
          <w:ilvl w:val="0"/>
          <w:numId w:val="2"/>
        </w:numPr>
        <w:ind w:firstLine="709" w:left="0"/>
        <w:rPr/>
      </w:pPr>
      <w:r>
        <w:rPr>
          <w:b/>
          <w:bCs/>
        </w:rPr>
        <w:t>«Код»</w:t>
      </w:r>
      <w:r>
        <w:rPr/>
        <w:t>;</w:t>
      </w:r>
    </w:p>
    <w:p>
      <w:pPr>
        <w:pStyle w:val="Style15"/>
        <w:numPr>
          <w:ilvl w:val="0"/>
          <w:numId w:val="2"/>
        </w:numPr>
        <w:ind w:firstLine="709" w:left="0"/>
        <w:rPr>
          <w:b/>
          <w:bCs/>
        </w:rPr>
      </w:pPr>
      <w:r>
        <w:rPr>
          <w:b/>
          <w:bCs/>
        </w:rPr>
        <w:t>«Контактные данные»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 xml:space="preserve">«Действующее» </w:t>
      </w:r>
      <w:r>
        <w:rPr/>
        <w:t>(статус подразделения);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«Год создания»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«Год ликвидации»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«Примечание»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</w:t>
      </w:r>
      <w:r>
        <w:rPr/>
        <w:drawing>
          <wp:inline distT="0" distB="0" distL="0" distR="0">
            <wp:extent cx="257175" cy="238125"/>
            <wp:effectExtent l="0" t="0" r="0" b="0"/>
            <wp:docPr id="49" name="Изображение92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Изображение92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» </w:t>
      </w:r>
      <w:r>
        <w:rPr>
          <w:lang w:val="en-US"/>
        </w:rPr>
        <w:t>(</w:t>
      </w:r>
      <w:r>
        <w:rPr/>
        <w:t>редактировать</w:t>
      </w:r>
      <w:r>
        <w:rPr>
          <w:lang w:val="en-US"/>
        </w:rPr>
        <w:t>)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</w:t>
      </w:r>
      <w:r>
        <w:rPr/>
        <w:drawing>
          <wp:inline distT="0" distB="0" distL="0" distR="0">
            <wp:extent cx="257175" cy="238125"/>
            <wp:effectExtent l="0" t="0" r="0" b="0"/>
            <wp:docPr id="50" name="Изображение9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Изображение93" descr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» </w:t>
      </w:r>
      <w:r>
        <w:rPr>
          <w:lang w:val="en-US"/>
        </w:rPr>
        <w:t>(</w:t>
      </w:r>
      <w:r>
        <w:rPr/>
        <w:t>удалить</w:t>
      </w:r>
      <w:r>
        <w:rPr>
          <w:lang w:val="en-US"/>
        </w:rPr>
        <w:t>)</w:t>
      </w:r>
      <w:r>
        <w:rPr/>
        <w:t>.</w:t>
      </w:r>
    </w:p>
    <w:p>
      <w:pPr>
        <w:pStyle w:val="Style14"/>
        <w:rPr/>
      </w:pPr>
      <w:r>
        <w:rPr/>
        <w:t xml:space="preserve">Вкладка </w:t>
      </w:r>
      <w:r>
        <w:rPr>
          <w:b/>
          <w:bCs/>
        </w:rPr>
        <w:t>«Подразделения»</w:t>
      </w:r>
      <w:r>
        <w:rPr/>
        <w:t xml:space="preserve"> позволяет добавить новое подразделение или редактировать существующее.</w:t>
      </w:r>
    </w:p>
    <w:p>
      <w:pPr>
        <w:pStyle w:val="Style14"/>
        <w:rPr/>
      </w:pPr>
      <w:r>
        <w:rPr/>
        <w:t xml:space="preserve">Для добавления нового подразделения требуется нажать кнопку </w:t>
      </w:r>
      <w:r>
        <w:rPr>
          <w:b/>
          <w:bCs/>
        </w:rPr>
        <w:t xml:space="preserve">«Добавить подразделение» </w:t>
      </w:r>
      <w:r>
        <w:rPr/>
        <w:t xml:space="preserve">в левой нижней части экрана (см. </w:t>
      </w:r>
      <w:r>
        <w:rPr/>
        <w:fldChar w:fldCharType="begin"/>
      </w:r>
      <w:r>
        <w:rPr/>
        <w:instrText xml:space="preserve"> REF __RefNumPara__147283_1253639267 \n \h </w:instrText>
      </w:r>
      <w:r>
        <w:rPr/>
        <w:fldChar w:fldCharType="separate"/>
      </w:r>
      <w:r>
        <w:rPr/>
        <w:t>Рисунок 2.19</w:t>
      </w:r>
      <w:r>
        <w:rPr/>
        <w:fldChar w:fldCharType="end"/>
      </w:r>
      <w:r>
        <w:rPr/>
        <w:t>).</w:t>
      </w:r>
    </w:p>
    <w:p>
      <w:pPr>
        <w:pStyle w:val="Style14"/>
        <w:rPr/>
      </w:pPr>
      <w:r>
        <w:rPr/>
        <w:t xml:space="preserve">В появившемся модальном окне </w:t>
      </w:r>
      <w:r>
        <w:rPr>
          <w:b/>
          <w:bCs/>
        </w:rPr>
        <w:t>«Добавление подразделения»</w:t>
      </w:r>
      <w:r>
        <w:rPr/>
        <w:t xml:space="preserve"> </w:t>
        <w:br/>
        <w:t>(Рисунок 2.20) заполнить пустые поля. Обязательные для заполнения поля отмечены «*».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3786505" cy="3616960"/>
            <wp:effectExtent l="0" t="0" r="0" b="0"/>
            <wp:docPr id="51" name="Изображение50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Изображение50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46"/>
        <w:numPr>
          <w:ilvl w:val="1"/>
          <w:numId w:val="8"/>
        </w:numPr>
        <w:ind w:firstLine="680"/>
        <w:rPr/>
      </w:pPr>
      <w:r>
        <w:rPr/>
        <w:t>. Модальное окно «Добавление подразделения»</w:t>
      </w:r>
    </w:p>
    <w:p>
      <w:pPr>
        <w:pStyle w:val="Style14"/>
        <w:rPr/>
      </w:pPr>
      <w:r>
        <w:rPr/>
        <w:t xml:space="preserve">Нажать кнопку </w:t>
      </w:r>
      <w:r>
        <w:rPr>
          <w:b/>
          <w:bCs/>
        </w:rPr>
        <w:t>«Добавить»</w:t>
      </w:r>
      <w:r>
        <w:rPr/>
        <w:t xml:space="preserve"> для сохранения созданного подразделения.</w:t>
      </w:r>
    </w:p>
    <w:p>
      <w:pPr>
        <w:pStyle w:val="Style14"/>
        <w:rPr/>
      </w:pPr>
      <w:r>
        <w:rPr/>
        <w:t xml:space="preserve">Для отмены сохранения нажать кнопку </w:t>
      </w:r>
      <w:r>
        <w:rPr>
          <w:b/>
          <w:bCs/>
        </w:rPr>
        <w:t>«Отменить»</w:t>
      </w:r>
      <w:r>
        <w:rPr/>
        <w:t xml:space="preserve"> и подтвердить действие во всплывающем окне подтверждения (Рисунок 2.21).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3027680" cy="1152525"/>
            <wp:effectExtent l="0" t="0" r="0" b="0"/>
            <wp:docPr id="52" name="Изображение5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Изображение5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r>
        <w:rPr>
          <w:lang w:val="en-US"/>
        </w:rPr>
        <w:t xml:space="preserve"> </w:t>
      </w:r>
      <w:r>
        <w:rPr/>
        <w:t>Окно подтверждения</w:t>
      </w:r>
    </w:p>
    <w:p>
      <w:pPr>
        <w:pStyle w:val="Style14"/>
        <w:rPr/>
      </w:pPr>
      <w:r>
        <w:rPr>
          <w:szCs w:val="28"/>
          <w:lang w:eastAsia="ru-RU"/>
        </w:rPr>
        <w:t xml:space="preserve">Для редактирования подразделения требуется нажать кнопку редактирования </w:t>
      </w:r>
      <w:r>
        <w:rPr/>
        <w:drawing>
          <wp:inline distT="0" distB="0" distL="0" distR="0">
            <wp:extent cx="245745" cy="245745"/>
            <wp:effectExtent l="0" t="0" r="0" b="0"/>
            <wp:docPr id="53" name="Изображение8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Изображение83" descr="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>
          <w:szCs w:val="28"/>
          <w:lang w:eastAsia="ru-RU"/>
        </w:rPr>
        <w:t xml:space="preserve">в конце строки выбранного подразделения (см. </w:t>
      </w:r>
      <w:r>
        <w:rPr>
          <w:szCs w:val="28"/>
          <w:lang w:eastAsia="ru-RU"/>
        </w:rPr>
        <w:fldChar w:fldCharType="begin"/>
      </w:r>
      <w:r>
        <w:rPr>
          <w:szCs w:val="28"/>
          <w:lang w:eastAsia="ru-RU"/>
        </w:rPr>
        <w:instrText xml:space="preserve"> REF __RefNumPara__147283_1253639267 \n \h </w:instrText>
      </w:r>
      <w:r>
        <w:rPr>
          <w:szCs w:val="28"/>
          <w:lang w:eastAsia="ru-RU"/>
        </w:rPr>
        <w:fldChar w:fldCharType="separate"/>
      </w:r>
      <w:r>
        <w:rPr>
          <w:szCs w:val="28"/>
          <w:lang w:eastAsia="ru-RU"/>
        </w:rPr>
        <w:t>Рисунок 2.19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 xml:space="preserve">). </w:t>
      </w:r>
      <w:r>
        <w:rPr/>
        <w:t>При этом станет доступно к редактированию «</w:t>
      </w:r>
      <w:r>
        <w:rPr>
          <w:b/>
          <w:bCs/>
        </w:rPr>
        <w:t xml:space="preserve">Наименование», «Код», «Контактные данные» </w:t>
      </w:r>
      <w:r>
        <w:rPr/>
        <w:t xml:space="preserve">и </w:t>
      </w:r>
      <w:r>
        <w:rPr>
          <w:b/>
          <w:bCs/>
        </w:rPr>
        <w:t>«Год создания»</w:t>
      </w:r>
      <w:r>
        <w:rPr/>
        <w:t xml:space="preserve"> подразделения (</w:t>
      </w:r>
      <w:r>
        <w:rPr/>
        <w:fldChar w:fldCharType="begin"/>
      </w:r>
      <w:r>
        <w:rPr/>
        <w:instrText xml:space="preserve"> REF __RefNumPara__148138_1253639267 \n \h </w:instrText>
      </w:r>
      <w:r>
        <w:rPr/>
        <w:fldChar w:fldCharType="separate"/>
      </w:r>
      <w:r>
        <w:rPr/>
        <w:t>Рисунок 2.22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120130" cy="2973705"/>
            <wp:effectExtent l="0" t="0" r="0" b="0"/>
            <wp:docPr id="54" name="Изображение52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52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66" w:name="__RefNumPara__148138_1253639267"/>
      <w:bookmarkEnd w:id="66"/>
      <w:r>
        <w:rPr/>
        <w:t>. Режим редактирования подразделения</w:t>
      </w:r>
    </w:p>
    <w:p>
      <w:pPr>
        <w:pStyle w:val="Style14"/>
        <w:rPr/>
      </w:pPr>
      <w:r>
        <w:rPr/>
        <w:t xml:space="preserve">После внесения изменений следует нажать в конце редактируемой строки  кнопку  </w:t>
      </w:r>
      <w:r>
        <w:rPr/>
        <w:drawing>
          <wp:inline distT="0" distB="0" distL="0" distR="0">
            <wp:extent cx="280670" cy="300990"/>
            <wp:effectExtent l="0" t="0" r="0" b="0"/>
            <wp:docPr id="55" name="Изображение8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Изображение84" descr="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для сохранения изменений , либо </w:t>
      </w:r>
      <w:r>
        <w:rPr/>
        <w:drawing>
          <wp:inline distT="0" distB="0" distL="0" distR="0">
            <wp:extent cx="279400" cy="327025"/>
            <wp:effectExtent l="0" t="0" r="0" b="0"/>
            <wp:docPr id="56" name="Изображение8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Изображение85" descr="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для отмены сохранения. Кнопки расположены в правой части строки редактируемого подразделения.</w:t>
      </w:r>
    </w:p>
    <w:p>
      <w:pPr>
        <w:pStyle w:val="Style14"/>
        <w:rPr/>
      </w:pPr>
      <w:r>
        <w:rPr/>
        <w:t>Далее следует подтвердить действие во всплывающем окне.</w:t>
      </w:r>
    </w:p>
    <w:p>
      <w:pPr>
        <w:pStyle w:val="Style14"/>
        <w:shd w:val="clear" w:color="auto" w:fill="DDDDDD"/>
        <w:rPr>
          <w:i/>
          <w:i/>
          <w:iCs/>
        </w:rPr>
      </w:pPr>
      <w:r>
        <w:rPr>
          <w:b/>
          <w:bCs/>
          <w:i/>
          <w:iCs/>
        </w:rPr>
        <w:t>Примечание:</w:t>
      </w:r>
      <w:r>
        <w:rPr>
          <w:i/>
          <w:iCs/>
        </w:rPr>
        <w:t xml:space="preserve"> Функция редактирования подразделения будет недоступна, если в Подсистеме существует дело со статусом </w:t>
      </w:r>
      <w:r>
        <w:rPr>
          <w:b/>
          <w:bCs/>
          <w:i/>
          <w:iCs/>
        </w:rPr>
        <w:t>«Закрыто»</w:t>
      </w:r>
      <w:r>
        <w:rPr>
          <w:i/>
          <w:iCs/>
        </w:rPr>
        <w:t>, относящееся к данному подразделению. Подсистема уведомит об этом пользователя в момент сохранения внесенных изменений (</w:t>
      </w:r>
      <w:r>
        <w:rPr>
          <w:i/>
          <w:iCs/>
        </w:rPr>
        <w:fldChar w:fldCharType="begin"/>
      </w:r>
      <w:r>
        <w:rPr>
          <w:i/>
          <w:iCs/>
        </w:rPr>
        <w:instrText xml:space="preserve"> REF __RefNumPara__148354_1253639267 \n \h </w:instrText>
      </w:r>
      <w:r>
        <w:rPr>
          <w:i/>
          <w:iCs/>
        </w:rPr>
        <w:fldChar w:fldCharType="separate"/>
      </w:r>
      <w:r>
        <w:rPr>
          <w:i/>
          <w:iCs/>
        </w:rPr>
        <w:t>Рисунок 2.23</w:t>
      </w:r>
      <w:r>
        <w:rPr>
          <w:i/>
          <w:iCs/>
        </w:rPr>
        <w:fldChar w:fldCharType="end"/>
      </w:r>
      <w:r>
        <w:rPr>
          <w:i/>
          <w:iCs/>
        </w:rPr>
        <w:t>).</w:t>
      </w:r>
    </w:p>
    <w:p>
      <w:pPr>
        <w:pStyle w:val="Style20"/>
        <w:rPr/>
      </w:pPr>
      <w:r>
        <w:rPr/>
        <w:drawing>
          <wp:inline distT="0" distB="0" distL="0" distR="0">
            <wp:extent cx="5066665" cy="904875"/>
            <wp:effectExtent l="0" t="0" r="0" b="0"/>
            <wp:docPr id="57" name="Изображение8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Изображение86" descr="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6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67" w:name="__RefNumPara__148354_1253639267"/>
      <w:bookmarkEnd w:id="67"/>
      <w:r>
        <w:rPr/>
        <w:t>. Системное сообщение о невозможности редактирования информации о подразделении</w:t>
      </w:r>
    </w:p>
    <w:p>
      <w:pPr>
        <w:pStyle w:val="21"/>
        <w:rPr/>
      </w:pPr>
      <w:bookmarkStart w:id="68" w:name="__RefHeading___Toc4767_2481601417_Копия_"/>
      <w:bookmarkStart w:id="69" w:name="_Toc184909312"/>
      <w:bookmarkEnd w:id="68"/>
      <w:r>
        <w:rPr/>
        <w:t>Справочник «Реестр видов документов»</w:t>
      </w:r>
      <w:bookmarkEnd w:id="69"/>
    </w:p>
    <w:p>
      <w:pPr>
        <w:pStyle w:val="Style14"/>
        <w:rPr/>
      </w:pPr>
      <w:r>
        <w:rPr/>
        <w:t xml:space="preserve">Вкладка </w:t>
      </w:r>
      <w:r>
        <w:rPr>
          <w:b/>
          <w:bCs/>
        </w:rPr>
        <w:t xml:space="preserve">«Реестр видов документов» </w:t>
      </w:r>
      <w:r>
        <w:rPr/>
        <w:t>содержит справочник ОИК - перечень документов, образующихся в процессе деятельности ОИК, а также в процессе деятельности подведомственных им организаций с указанием сроков их хранения (</w:t>
      </w:r>
      <w:r>
        <w:rPr/>
        <w:fldChar w:fldCharType="begin"/>
      </w:r>
      <w:r>
        <w:rPr/>
        <w:instrText xml:space="preserve"> REF __RefNumPara__61672_2831260277 \n \h </w:instrText>
      </w:r>
      <w:r>
        <w:rPr/>
        <w:fldChar w:fldCharType="separate"/>
      </w:r>
      <w:r>
        <w:rPr/>
        <w:t>Рисунок 2.24</w:t>
      </w:r>
      <w:r>
        <w:rPr/>
        <w:fldChar w:fldCharType="end"/>
      </w:r>
      <w:r>
        <w:rPr/>
        <w:t xml:space="preserve">). Каждому делу в Подсистеме должна быть указана статья хранения из справочника </w:t>
      </w:r>
      <w:r>
        <w:rPr>
          <w:b/>
          <w:bCs/>
        </w:rPr>
        <w:t>«Реестр видов документов»</w:t>
      </w:r>
      <w:r>
        <w:rPr/>
        <w:t>, что определяет срок хранения дела и документов, входящих в его состав.</w:t>
      </w:r>
    </w:p>
    <w:p>
      <w:pPr>
        <w:pStyle w:val="Style20"/>
        <w:rPr/>
      </w:pPr>
      <w:r>
        <w:rPr/>
        <w:drawing>
          <wp:inline distT="0" distB="0" distL="0" distR="0">
            <wp:extent cx="6210300" cy="3912235"/>
            <wp:effectExtent l="0" t="0" r="0" b="0"/>
            <wp:docPr id="58" name="Изображение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Изображение28" descr="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1"/>
          <w:numId w:val="8"/>
        </w:numPr>
        <w:ind w:firstLine="680"/>
        <w:rPr/>
      </w:pPr>
      <w:bookmarkStart w:id="70" w:name="__RefNumPara__61672_2831260277"/>
      <w:bookmarkEnd w:id="70"/>
      <w:r>
        <w:rPr/>
        <w:t>. Реестр видов документов</w:t>
      </w:r>
    </w:p>
    <w:p>
      <w:pPr>
        <w:pStyle w:val="Style14"/>
        <w:rPr/>
      </w:pPr>
      <w:r>
        <w:rPr/>
        <w:t xml:space="preserve">На вкладке </w:t>
      </w:r>
      <w:r>
        <w:rPr>
          <w:b/>
          <w:bCs/>
        </w:rPr>
        <w:t>«Реестр видов документов»</w:t>
      </w:r>
      <w:r>
        <w:rPr/>
        <w:t xml:space="preserve"> пользователям с системной ролью </w:t>
      </w:r>
      <w:r>
        <w:rPr>
          <w:b/>
          <w:bCs/>
        </w:rPr>
        <w:t xml:space="preserve">«Администратор» </w:t>
      </w:r>
      <w:r>
        <w:rPr/>
        <w:t xml:space="preserve">и </w:t>
      </w:r>
      <w:r>
        <w:rPr>
          <w:b/>
          <w:bCs/>
        </w:rPr>
        <w:t xml:space="preserve">«Архивист» </w:t>
      </w:r>
      <w:r>
        <w:rPr/>
        <w:t>доступны возможности:</w:t>
      </w:r>
    </w:p>
    <w:p>
      <w:pPr>
        <w:pStyle w:val="Style15"/>
        <w:numPr>
          <w:ilvl w:val="0"/>
          <w:numId w:val="2"/>
        </w:numPr>
        <w:rPr/>
      </w:pPr>
      <w:r>
        <w:rPr/>
        <w:t>создание нового реестра (доступно только в процессе первоначальной настройки параметров при создании ОИК в Подсистеме. Повторное создание реестра видов документов Подсистемой не предусмотрено);</w:t>
      </w:r>
    </w:p>
    <w:p>
      <w:pPr>
        <w:pStyle w:val="Style15"/>
        <w:numPr>
          <w:ilvl w:val="0"/>
          <w:numId w:val="2"/>
        </w:numPr>
        <w:rPr/>
      </w:pPr>
      <w:r>
        <w:rPr>
          <w:color w:val="000000"/>
        </w:rPr>
        <w:t>просмотр и редактирование карточки реестра;</w:t>
      </w:r>
    </w:p>
    <w:p>
      <w:pPr>
        <w:pStyle w:val="Style15"/>
        <w:numPr>
          <w:ilvl w:val="0"/>
          <w:numId w:val="2"/>
        </w:numPr>
        <w:rPr/>
      </w:pPr>
      <w:r>
        <w:rPr>
          <w:color w:val="000000"/>
        </w:rPr>
        <w:t>создание и редактирование статьи реестра в текущем справочнике.</w:t>
      </w:r>
    </w:p>
    <w:p>
      <w:pPr>
        <w:pStyle w:val="Style14"/>
        <w:rPr/>
      </w:pPr>
      <w:r>
        <w:rPr/>
        <w:t xml:space="preserve">Подробно работа со справочником </w:t>
      </w:r>
      <w:r>
        <w:rPr>
          <w:b/>
          <w:bCs/>
        </w:rPr>
        <w:t>«Реестр видов документов»</w:t>
      </w:r>
      <w:r>
        <w:rPr/>
        <w:t xml:space="preserve"> описана в учебном пособии «Базовый курс по работе в подсистеме «Облачный архив» ГИС «Платформа ЦХЭД».</w:t>
      </w:r>
    </w:p>
    <w:p>
      <w:pPr>
        <w:pStyle w:val="11"/>
        <w:rPr/>
      </w:pPr>
      <w:bookmarkStart w:id="71" w:name="_Toc184909313"/>
      <w:r>
        <w:rPr/>
        <w:t>Администрирование</w:t>
      </w:r>
      <w:bookmarkEnd w:id="71"/>
    </w:p>
    <w:p>
      <w:pPr>
        <w:pStyle w:val="Style14"/>
        <w:rPr/>
      </w:pPr>
      <w:r>
        <w:rPr/>
        <w:t xml:space="preserve">В разделе </w:t>
      </w:r>
      <w:r>
        <w:rPr>
          <w:b/>
          <w:bCs/>
        </w:rPr>
        <w:t xml:space="preserve">«Администрирование» </w:t>
      </w:r>
      <w:r>
        <w:rPr/>
        <w:t>доступно администрирование:</w:t>
      </w:r>
    </w:p>
    <w:p>
      <w:pPr>
        <w:pStyle w:val="Style15"/>
        <w:numPr>
          <w:ilvl w:val="0"/>
          <w:numId w:val="2"/>
        </w:numPr>
        <w:rPr/>
      </w:pPr>
      <w:r>
        <w:rPr/>
        <w:t>пользователей;</w:t>
      </w:r>
    </w:p>
    <w:p>
      <w:pPr>
        <w:pStyle w:val="Style15"/>
        <w:numPr>
          <w:ilvl w:val="0"/>
          <w:numId w:val="2"/>
        </w:numPr>
        <w:rPr/>
      </w:pPr>
      <w:r>
        <w:rPr/>
        <w:t>системных ролей;</w:t>
      </w:r>
    </w:p>
    <w:p>
      <w:pPr>
        <w:pStyle w:val="Style15"/>
        <w:numPr>
          <w:ilvl w:val="0"/>
          <w:numId w:val="2"/>
        </w:numPr>
        <w:rPr/>
      </w:pPr>
      <w:r>
        <w:rPr/>
        <w:t>журнал событий.</w:t>
      </w:r>
    </w:p>
    <w:p>
      <w:pPr>
        <w:pStyle w:val="21"/>
        <w:rPr/>
      </w:pPr>
      <w:bookmarkStart w:id="72" w:name="__RefNumPara__5865_3470983174"/>
      <w:bookmarkStart w:id="73" w:name="_Toc184909314"/>
      <w:bookmarkEnd w:id="72"/>
      <w:r>
        <w:rPr/>
        <w:t>Пользователи</w:t>
      </w:r>
      <w:bookmarkEnd w:id="73"/>
    </w:p>
    <w:p>
      <w:pPr>
        <w:pStyle w:val="Style14"/>
        <w:rPr/>
      </w:pPr>
      <w:r>
        <w:rPr/>
        <w:t xml:space="preserve">Подраздел </w:t>
      </w:r>
      <w:r>
        <w:rPr>
          <w:b/>
          <w:bCs/>
        </w:rPr>
        <w:t>«Пользователи»</w:t>
      </w:r>
      <w:r>
        <w:rPr/>
        <w:t xml:space="preserve"> раздела </w:t>
      </w:r>
      <w:r>
        <w:rPr>
          <w:b/>
          <w:bCs/>
        </w:rPr>
        <w:t>«Администрирование»</w:t>
      </w:r>
      <w:r>
        <w:rPr/>
        <w:t xml:space="preserve"> Главного меню Подсистемы позволяет управлять списком пользователей, создавать и редактировать их профили.</w:t>
      </w:r>
    </w:p>
    <w:p>
      <w:pPr>
        <w:pStyle w:val="Style14"/>
        <w:rPr/>
      </w:pPr>
      <w:r>
        <w:rPr/>
        <w:t xml:space="preserve">Пользователю с системной ролью </w:t>
      </w:r>
      <w:r>
        <w:rPr>
          <w:b/>
          <w:bCs/>
        </w:rPr>
        <w:t>«Администратор»</w:t>
      </w:r>
      <w:r>
        <w:rPr/>
        <w:t xml:space="preserve"> доступны следующие функциональные возможности при ведении пользователей:</w:t>
      </w:r>
    </w:p>
    <w:p>
      <w:pPr>
        <w:pStyle w:val="Style15"/>
        <w:numPr>
          <w:ilvl w:val="0"/>
          <w:numId w:val="2"/>
        </w:numPr>
        <w:rPr/>
      </w:pPr>
      <w:r>
        <w:rPr/>
        <w:t>создание профиля нового пользователя;</w:t>
      </w:r>
    </w:p>
    <w:p>
      <w:pPr>
        <w:pStyle w:val="Style15"/>
        <w:numPr>
          <w:ilvl w:val="0"/>
          <w:numId w:val="2"/>
        </w:numPr>
        <w:rPr/>
      </w:pPr>
      <w:r>
        <w:rPr/>
        <w:t>управление профилем существующего пользователя, в т.ч. редактирование общей информации, управление его учетной записью, системными ролями, правами доступа, сертификатами, привязка профиля к подразделению ОИК, управление паролем доступа в Подсистему, а также при необходимости блокирование пользователя для входа в Подсистему.</w:t>
      </w:r>
    </w:p>
    <w:p>
      <w:pPr>
        <w:pStyle w:val="3"/>
        <w:rPr/>
      </w:pPr>
      <w:bookmarkStart w:id="74" w:name="_Toc184909315"/>
      <w:r>
        <w:rPr/>
        <w:t>Список пользователей</w:t>
      </w:r>
      <w:bookmarkEnd w:id="74"/>
    </w:p>
    <w:p>
      <w:pPr>
        <w:pStyle w:val="Style14"/>
        <w:rPr/>
      </w:pPr>
      <w:r>
        <w:rPr/>
        <w:t xml:space="preserve">Для перехода к списку пользователей Подсистемы необходимо войти в подраздел </w:t>
      </w:r>
      <w:r>
        <w:rPr>
          <w:b/>
          <w:bCs/>
        </w:rPr>
        <w:t>«Пользователи»</w:t>
      </w:r>
      <w:r>
        <w:rPr/>
        <w:t xml:space="preserve"> Раздела </w:t>
      </w:r>
      <w:r>
        <w:rPr>
          <w:b/>
          <w:bCs/>
        </w:rPr>
        <w:t>«Администрирование»</w:t>
      </w:r>
      <w:r>
        <w:rPr/>
        <w:t xml:space="preserve"> Главного меню Подсистемы (</w:t>
      </w:r>
      <w:r>
        <w:rPr/>
        <w:fldChar w:fldCharType="begin"/>
      </w:r>
      <w:r>
        <w:rPr/>
        <w:instrText xml:space="preserve"> REF __RefNumPara__198648_1253639267 \n \h </w:instrText>
      </w:r>
      <w:r>
        <w:rPr/>
        <w:fldChar w:fldCharType="separate"/>
      </w:r>
      <w:r>
        <w:rPr/>
        <w:t>Рисунок 3.1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2246630"/>
            <wp:effectExtent l="0" t="0" r="0" b="0"/>
            <wp:docPr id="59" name="Изображение8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87" descr="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75" w:name="__RefNumPara__198648_1253639267"/>
      <w:bookmarkEnd w:id="75"/>
      <w:r>
        <w:rPr/>
        <w:t>. Экранная форма Подраздела «Пользователи»</w:t>
      </w:r>
    </w:p>
    <w:p>
      <w:pPr>
        <w:pStyle w:val="Style14"/>
        <w:rPr/>
      </w:pPr>
      <w:r>
        <w:rPr>
          <w:color w:val="000000"/>
          <w:szCs w:val="28"/>
          <w:lang w:eastAsia="ru-RU"/>
        </w:rPr>
        <w:t xml:space="preserve">Список пользователей в Подсистеме отображается в виде таблицы </w:t>
      </w:r>
      <w:r>
        <w:rPr>
          <w:b/>
          <w:bCs/>
          <w:color w:val="000000"/>
          <w:szCs w:val="28"/>
          <w:lang w:eastAsia="ru-RU"/>
        </w:rPr>
        <w:t>(2)</w:t>
      </w:r>
      <w:r>
        <w:rPr>
          <w:color w:val="000000"/>
          <w:szCs w:val="28"/>
          <w:lang w:eastAsia="ru-RU"/>
        </w:rPr>
        <w:t>, заголовки столбцов которой содержат следующие наименования параметров: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«№»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«ФИО»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«Логин»</w:t>
      </w:r>
      <w:r>
        <w:rPr/>
        <w:t>;</w:t>
      </w:r>
    </w:p>
    <w:p>
      <w:pPr>
        <w:pStyle w:val="Style15"/>
        <w:numPr>
          <w:ilvl w:val="0"/>
          <w:numId w:val="2"/>
        </w:numPr>
        <w:rPr>
          <w:lang w:val="en-US"/>
        </w:rPr>
      </w:pPr>
      <w:r>
        <w:rPr>
          <w:b/>
          <w:bCs/>
          <w:lang w:val="en-US"/>
        </w:rPr>
        <w:t>«E-mail</w:t>
      </w:r>
      <w:r>
        <w:rPr>
          <w:b/>
          <w:bCs/>
        </w:rPr>
        <w:t>»</w:t>
      </w:r>
      <w:r>
        <w:rPr>
          <w:lang w:val="en-US"/>
        </w:rPr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«Начало действия»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«Окончание действия»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 xml:space="preserve">«Заблокирован» </w:t>
      </w:r>
      <w:r>
        <w:rPr/>
        <w:t>(статус блокировки).</w:t>
      </w:r>
    </w:p>
    <w:p>
      <w:pPr>
        <w:pStyle w:val="Style14"/>
        <w:rPr/>
      </w:pPr>
      <w:r>
        <w:rPr>
          <w:szCs w:val="28"/>
          <w:lang w:eastAsia="ru-RU"/>
        </w:rPr>
        <w:t xml:space="preserve">В верхней части экранной формы расположена поисковая строка </w:t>
      </w:r>
      <w:r>
        <w:rPr>
          <w:b/>
          <w:bCs/>
          <w:szCs w:val="28"/>
          <w:lang w:eastAsia="ru-RU"/>
        </w:rPr>
        <w:t>(1)</w:t>
      </w:r>
      <w:r>
        <w:rPr>
          <w:szCs w:val="28"/>
          <w:lang w:eastAsia="ru-RU"/>
        </w:rPr>
        <w:t xml:space="preserve">. Функция быстрого поиска осуществляется по параметру </w:t>
      </w:r>
      <w:r>
        <w:rPr>
          <w:b/>
          <w:bCs/>
          <w:szCs w:val="28"/>
          <w:lang w:eastAsia="ru-RU"/>
        </w:rPr>
        <w:t>«ФИО пользователя»</w:t>
      </w:r>
      <w:r>
        <w:rPr>
          <w:szCs w:val="28"/>
          <w:lang w:eastAsia="ru-RU"/>
        </w:rPr>
        <w:t>.</w:t>
      </w:r>
    </w:p>
    <w:p>
      <w:pPr>
        <w:pStyle w:val="Style14"/>
        <w:rPr/>
      </w:pPr>
      <w:r>
        <w:rPr>
          <w:szCs w:val="28"/>
          <w:lang w:eastAsia="ru-RU"/>
        </w:rPr>
        <w:t xml:space="preserve">Также есть функция поиска с помощью расширенного фильтра по параметру </w:t>
      </w:r>
      <w:r>
        <w:rPr>
          <w:b/>
          <w:bCs/>
          <w:szCs w:val="28"/>
          <w:lang w:eastAsia="ru-RU"/>
        </w:rPr>
        <w:t>«Логин»</w:t>
      </w:r>
      <w:r>
        <w:rPr>
          <w:szCs w:val="28"/>
          <w:lang w:eastAsia="ru-RU"/>
        </w:rPr>
        <w:t xml:space="preserve">, </w:t>
      </w:r>
      <w:r>
        <w:rPr>
          <w:b/>
          <w:bCs/>
          <w:szCs w:val="28"/>
          <w:lang w:eastAsia="ru-RU"/>
        </w:rPr>
        <w:t>«</w:t>
      </w:r>
      <w:r>
        <w:rPr>
          <w:b/>
          <w:bCs/>
          <w:szCs w:val="28"/>
          <w:lang w:val="en-US" w:eastAsia="ru-RU"/>
        </w:rPr>
        <w:t>E</w:t>
      </w:r>
      <w:r>
        <w:rPr>
          <w:b/>
          <w:bCs/>
          <w:szCs w:val="28"/>
          <w:lang w:eastAsia="ru-RU"/>
        </w:rPr>
        <w:t>-</w:t>
      </w:r>
      <w:r>
        <w:rPr>
          <w:b/>
          <w:bCs/>
          <w:szCs w:val="28"/>
          <w:lang w:val="en-US" w:eastAsia="ru-RU"/>
        </w:rPr>
        <w:t>mail</w:t>
      </w:r>
      <w:r>
        <w:rPr>
          <w:b/>
          <w:bCs/>
          <w:szCs w:val="28"/>
          <w:lang w:eastAsia="ru-RU"/>
        </w:rPr>
        <w:t>»</w:t>
      </w:r>
      <w:r>
        <w:rPr>
          <w:szCs w:val="28"/>
          <w:lang w:eastAsia="ru-RU"/>
        </w:rPr>
        <w:t xml:space="preserve">, </w:t>
      </w:r>
      <w:r>
        <w:rPr>
          <w:b/>
          <w:bCs/>
          <w:szCs w:val="28"/>
          <w:lang w:eastAsia="ru-RU"/>
        </w:rPr>
        <w:t>«Дата начала действия»</w:t>
      </w:r>
      <w:r>
        <w:rPr>
          <w:szCs w:val="28"/>
          <w:lang w:eastAsia="ru-RU"/>
        </w:rPr>
        <w:t xml:space="preserve">, </w:t>
      </w:r>
      <w:r>
        <w:rPr>
          <w:b/>
          <w:bCs/>
          <w:szCs w:val="28"/>
          <w:lang w:eastAsia="ru-RU"/>
        </w:rPr>
        <w:t>«Дата окончания действия»</w:t>
      </w:r>
      <w:r>
        <w:rPr>
          <w:szCs w:val="28"/>
          <w:lang w:eastAsia="ru-RU"/>
        </w:rPr>
        <w:t xml:space="preserve"> (</w:t>
      </w:r>
      <w:r>
        <w:rPr>
          <w:szCs w:val="28"/>
          <w:lang w:eastAsia="ru-RU"/>
        </w:rPr>
        <w:fldChar w:fldCharType="begin"/>
      </w:r>
      <w:r>
        <w:rPr>
          <w:szCs w:val="28"/>
          <w:lang w:eastAsia="ru-RU"/>
        </w:rPr>
        <w:instrText xml:space="preserve"> REF __RefNumPara__199017_1253639267 \n \h </w:instrText>
      </w:r>
      <w:r>
        <w:rPr>
          <w:szCs w:val="28"/>
          <w:lang w:eastAsia="ru-RU"/>
        </w:rPr>
        <w:fldChar w:fldCharType="separate"/>
      </w:r>
      <w:r>
        <w:rPr>
          <w:szCs w:val="28"/>
          <w:lang w:eastAsia="ru-RU"/>
        </w:rPr>
        <w:t>Рисунок 3.2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 xml:space="preserve">). Расширенный фильтр раскрывается при помощи кнопки </w:t>
      </w:r>
      <w:r>
        <w:rPr/>
        <w:drawing>
          <wp:inline distT="0" distB="0" distL="0" distR="0">
            <wp:extent cx="304800" cy="304800"/>
            <wp:effectExtent l="0" t="0" r="0" b="0"/>
            <wp:docPr id="60" name="Изображение8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Изображение88" descr="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  <w:lang w:eastAsia="ru-RU"/>
        </w:rPr>
        <w:t>, расположенной справа от поисковой строки.</w:t>
      </w:r>
    </w:p>
    <w:p>
      <w:pPr>
        <w:pStyle w:val="Style20"/>
        <w:rPr/>
      </w:pPr>
      <w:r>
        <w:rPr/>
        <w:drawing>
          <wp:inline distT="0" distB="0" distL="0" distR="0">
            <wp:extent cx="6210300" cy="1161415"/>
            <wp:effectExtent l="0" t="0" r="0" b="0"/>
            <wp:docPr id="61" name="Изображение8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Изображение89" descr="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76" w:name="__RefNumPara__199017_1253639267"/>
      <w:bookmarkEnd w:id="76"/>
      <w:r>
        <w:rPr/>
        <w:t>. Параметры функции расширенного поиска</w:t>
      </w:r>
    </w:p>
    <w:p>
      <w:pPr>
        <w:pStyle w:val="Style14"/>
        <w:rPr/>
      </w:pPr>
      <w:r>
        <w:rPr/>
        <w:t xml:space="preserve">Раздел меню </w:t>
      </w:r>
      <w:r>
        <w:rPr>
          <w:b/>
          <w:bCs/>
        </w:rPr>
        <w:t>«Администрирование»</w:t>
      </w:r>
      <w:r>
        <w:rPr/>
        <w:t>→</w:t>
      </w:r>
      <w:r>
        <w:rPr>
          <w:b/>
          <w:bCs/>
        </w:rPr>
        <w:t>«Пользователи»</w:t>
      </w:r>
      <w:r>
        <w:rPr/>
        <w:t xml:space="preserve"> позволяет добавить новых пользователей Подсистемы. </w:t>
      </w:r>
    </w:p>
    <w:p>
      <w:pPr>
        <w:pStyle w:val="3"/>
        <w:rPr/>
      </w:pPr>
      <w:bookmarkStart w:id="77" w:name="_Toc184909316"/>
      <w:r>
        <w:rPr/>
        <w:t>Создание пользователя</w:t>
      </w:r>
      <w:bookmarkEnd w:id="77"/>
    </w:p>
    <w:p>
      <w:pPr>
        <w:pStyle w:val="Style14"/>
        <w:rPr/>
      </w:pPr>
      <w:r>
        <w:rPr/>
        <w:t xml:space="preserve">Для добавления нового пользователя требуется нажать кнопку </w:t>
      </w:r>
      <w:r>
        <w:rPr>
          <w:b/>
          <w:bCs/>
        </w:rPr>
        <w:t>«Добавить пользователя»</w:t>
      </w:r>
      <w:r>
        <w:rPr/>
        <w:t xml:space="preserve"> в правом верхнем углу экрана (</w:t>
      </w:r>
      <w:r>
        <w:rPr/>
        <w:fldChar w:fldCharType="begin"/>
      </w:r>
      <w:r>
        <w:rPr/>
        <w:instrText xml:space="preserve"> REF __RefNumPara__8896_1346437980 \n \h </w:instrText>
      </w:r>
      <w:r>
        <w:rPr/>
        <w:fldChar w:fldCharType="separate"/>
      </w:r>
      <w:r>
        <w:rPr/>
        <w:t>Рисунок 3.3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023620"/>
            <wp:effectExtent l="0" t="0" r="0" b="0"/>
            <wp:docPr id="62" name="Изображение9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Изображение94" descr="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78" w:name="__RefNumPara__8896_1346437980"/>
      <w:bookmarkEnd w:id="78"/>
      <w:r>
        <w:rPr/>
        <w:t xml:space="preserve">. Кнопка «Добавить пользователя» </w:t>
      </w:r>
    </w:p>
    <w:p>
      <w:pPr>
        <w:pStyle w:val="Style14"/>
        <w:rPr/>
      </w:pPr>
      <w:r>
        <w:rPr/>
        <w:t>Откроется форма «</w:t>
      </w:r>
      <w:r>
        <w:rPr>
          <w:b/>
          <w:bCs/>
        </w:rPr>
        <w:t>Добавление пользователя</w:t>
      </w:r>
      <w:r>
        <w:rPr/>
        <w:t>» (</w:t>
      </w:r>
      <w:r>
        <w:rPr/>
        <w:fldChar w:fldCharType="begin"/>
      </w:r>
      <w:r>
        <w:rPr/>
        <w:instrText xml:space="preserve"> REF __RefNumPara__8898_1346437980 \n \h </w:instrText>
      </w:r>
      <w:r>
        <w:rPr/>
        <w:fldChar w:fldCharType="separate"/>
      </w:r>
      <w:r>
        <w:rPr/>
        <w:t>Рисунок 3.4</w:t>
      </w:r>
      <w:r>
        <w:rPr/>
        <w:fldChar w:fldCharType="end"/>
      </w:r>
      <w:r>
        <w:rPr/>
        <w:t>), в которую необходимо внести следующие данные: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«ФИО»</w:t>
      </w:r>
      <w:r>
        <w:rPr/>
        <w:t xml:space="preserve"> – фамилия, имя и отчество пользователя;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«Логин»</w:t>
      </w:r>
      <w:r>
        <w:rPr/>
        <w:t xml:space="preserve"> – идентификатор пользователя в системе;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«E-mail»</w:t>
      </w:r>
      <w:r>
        <w:rPr/>
        <w:t xml:space="preserve"> – электронная почта нового пользователя;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«Пароль»</w:t>
      </w:r>
      <w:r>
        <w:rPr/>
        <w:t xml:space="preserve"> – вводится или генерируется пользовательский пароль для входа в Подсистему;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«Начало действия»</w:t>
      </w:r>
      <w:r>
        <w:rPr/>
        <w:t xml:space="preserve"> – дата начала действия учетной записи;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«Окончание действия»</w:t>
      </w:r>
      <w:r>
        <w:rPr/>
        <w:t xml:space="preserve"> – дата прекращения действия учетной записи.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4210685" cy="6581775"/>
            <wp:effectExtent l="0" t="0" r="0" b="0"/>
            <wp:docPr id="63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79" w:name="__RefNumPara__8898_1346437980"/>
      <w:bookmarkEnd w:id="79"/>
      <w:r>
        <w:rPr/>
        <w:t>. Окно «Добавление пользователя»</w:t>
      </w:r>
    </w:p>
    <w:p>
      <w:pPr>
        <w:pStyle w:val="Style14"/>
        <w:rPr/>
      </w:pPr>
      <w:r>
        <w:rPr/>
        <w:t xml:space="preserve">Можно нажать на кнопку </w:t>
      </w:r>
      <w:r>
        <w:rPr>
          <w:b/>
          <w:bCs/>
        </w:rPr>
        <w:t>«Сгенерировать пароль»</w:t>
      </w:r>
      <w:r>
        <w:rPr/>
        <w:t xml:space="preserve"> для автоматической генерации пароля и последующей передачи пользователю. При необходимости можно активировать необходимость двухфакторной активации (</w:t>
      </w:r>
      <w:r>
        <w:rPr/>
        <w:fldChar w:fldCharType="begin"/>
      </w:r>
      <w:r>
        <w:rPr/>
        <w:instrText xml:space="preserve"> REF __RefNumPara__58844_1346437980 \n \h </w:instrText>
      </w:r>
      <w:r>
        <w:rPr/>
        <w:fldChar w:fldCharType="separate"/>
      </w:r>
      <w:r>
        <w:rPr/>
        <w:t>Рисунок 3.5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4639310" cy="342900"/>
            <wp:effectExtent l="0" t="0" r="0" b="0"/>
            <wp:docPr id="64" name="Изображение9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97" descr="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80" w:name="__RefNumPara__58844_1346437980"/>
      <w:bookmarkEnd w:id="80"/>
      <w:r>
        <w:rPr/>
        <w:t>. Активация функции двухфакторной аутентификации</w:t>
      </w:r>
    </w:p>
    <w:p>
      <w:pPr>
        <w:pStyle w:val="Style14"/>
        <w:rPr/>
      </w:pPr>
      <w:r>
        <w:rPr/>
        <w:t xml:space="preserve">Далее нажать кнопку </w:t>
      </w:r>
      <w:r>
        <w:rPr>
          <w:b/>
          <w:bCs/>
        </w:rPr>
        <w:t>«Добавить»</w:t>
      </w:r>
      <w:r>
        <w:rPr/>
        <w:t xml:space="preserve"> для сохранения и последующего перехода в карточку пользователя, либо кнопку </w:t>
      </w:r>
      <w:r>
        <w:rPr>
          <w:b/>
          <w:bCs/>
        </w:rPr>
        <w:t>«Закрыть»</w:t>
      </w:r>
      <w:r>
        <w:rPr/>
        <w:t xml:space="preserve"> для отмены сохранения данных (см. </w:t>
      </w:r>
      <w:r>
        <w:rPr/>
        <w:fldChar w:fldCharType="begin"/>
      </w:r>
      <w:r>
        <w:rPr/>
        <w:instrText xml:space="preserve"> REF __RefNumPara__8898_1346437980 \n \h </w:instrText>
      </w:r>
      <w:r>
        <w:rPr/>
        <w:fldChar w:fldCharType="separate"/>
      </w:r>
      <w:r>
        <w:rPr/>
        <w:t>Рисунок 3.4</w:t>
      </w:r>
      <w:r>
        <w:rPr/>
        <w:fldChar w:fldCharType="end"/>
      </w:r>
      <w:r>
        <w:rPr/>
        <w:t>).</w:t>
      </w:r>
    </w:p>
    <w:p>
      <w:pPr>
        <w:pStyle w:val="Style14"/>
        <w:rPr/>
      </w:pPr>
      <w:r>
        <w:rPr/>
        <w:t>Подтвердить действие во всплывающем окне (Рисунок 3.6).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2974340" cy="1101725"/>
            <wp:effectExtent l="0" t="0" r="0" b="0"/>
            <wp:docPr id="6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r>
        <w:rPr/>
        <w:t>. Подтверждение сохранения</w:t>
      </w:r>
    </w:p>
    <w:p>
      <w:pPr>
        <w:pStyle w:val="Style14"/>
        <w:rPr/>
      </w:pPr>
      <w:r>
        <w:rPr/>
        <w:t xml:space="preserve">В случае подтверждения сохранения данных пользователя нажать кнопку </w:t>
      </w:r>
      <w:r>
        <w:rPr>
          <w:b/>
          <w:bCs/>
        </w:rPr>
        <w:t>«Да».</w:t>
      </w:r>
      <w:r>
        <w:rPr/>
        <w:t xml:space="preserve"> Откроется карточка профиля пользователя (</w:t>
      </w:r>
      <w:r>
        <w:rPr/>
        <w:fldChar w:fldCharType="begin"/>
      </w:r>
      <w:r>
        <w:rPr/>
        <w:instrText xml:space="preserve"> REF __RefNumPara__59088_1346437980 \n \h </w:instrText>
      </w:r>
      <w:r>
        <w:rPr/>
        <w:fldChar w:fldCharType="separate"/>
      </w:r>
      <w:r>
        <w:rPr/>
        <w:t>Рисунок 3.7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363970" cy="2713355"/>
            <wp:effectExtent l="0" t="0" r="0" b="0"/>
            <wp:docPr id="6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81" w:name="__RefNumPara__59088_1346437980"/>
      <w:bookmarkEnd w:id="81"/>
      <w:r>
        <w:rPr/>
        <w:t>. Профиль пользователя</w:t>
      </w:r>
    </w:p>
    <w:p>
      <w:pPr>
        <w:pStyle w:val="3"/>
        <w:rPr/>
      </w:pPr>
      <w:bookmarkStart w:id="82" w:name="_Toc184909317"/>
      <w:r>
        <w:rPr/>
        <w:t>Профиль пользователя</w:t>
      </w:r>
      <w:bookmarkEnd w:id="82"/>
    </w:p>
    <w:p>
      <w:pPr>
        <w:pStyle w:val="Style14"/>
        <w:rPr/>
      </w:pPr>
      <w:r>
        <w:rPr/>
        <w:t>Профиль пользователя состоит из следующих блоков (</w:t>
      </w:r>
      <w:r>
        <w:rPr/>
        <w:fldChar w:fldCharType="begin"/>
      </w:r>
      <w:r>
        <w:rPr/>
        <w:instrText xml:space="preserve"> REF __RefNumPara__723_2313668851 \n \h </w:instrText>
      </w:r>
      <w:r>
        <w:rPr/>
        <w:fldChar w:fldCharType="separate"/>
      </w:r>
      <w:r>
        <w:rPr/>
        <w:t>Рисунок 3.8</w:t>
      </w:r>
      <w:r>
        <w:rPr/>
        <w:fldChar w:fldCharType="end"/>
      </w:r>
      <w:r>
        <w:rPr/>
        <w:t>):</w:t>
      </w:r>
    </w:p>
    <w:p>
      <w:pPr>
        <w:pStyle w:val="Style15"/>
        <w:numPr>
          <w:ilvl w:val="0"/>
          <w:numId w:val="2"/>
        </w:numPr>
        <w:rPr/>
      </w:pPr>
      <w:r>
        <w:rPr/>
        <w:t>Общая информация (1);</w:t>
      </w:r>
    </w:p>
    <w:p>
      <w:pPr>
        <w:pStyle w:val="Style15"/>
        <w:numPr>
          <w:ilvl w:val="0"/>
          <w:numId w:val="2"/>
        </w:numPr>
        <w:rPr/>
      </w:pPr>
      <w:r>
        <w:rPr/>
        <w:t>Срок действия учетной записи (2);</w:t>
      </w:r>
    </w:p>
    <w:p>
      <w:pPr>
        <w:pStyle w:val="Style15"/>
        <w:numPr>
          <w:ilvl w:val="0"/>
          <w:numId w:val="2"/>
        </w:numPr>
        <w:rPr/>
      </w:pPr>
      <w:r>
        <w:rPr/>
        <w:t>Подразделения (3);</w:t>
      </w:r>
    </w:p>
    <w:p>
      <w:pPr>
        <w:pStyle w:val="Style15"/>
        <w:numPr>
          <w:ilvl w:val="0"/>
          <w:numId w:val="2"/>
        </w:numPr>
        <w:rPr/>
      </w:pPr>
      <w:r>
        <w:rPr/>
        <w:t xml:space="preserve">Сертификаты (4); </w:t>
      </w:r>
    </w:p>
    <w:p>
      <w:pPr>
        <w:pStyle w:val="Style15"/>
        <w:numPr>
          <w:ilvl w:val="0"/>
          <w:numId w:val="2"/>
        </w:numPr>
        <w:rPr/>
      </w:pPr>
      <w:r>
        <w:rPr/>
        <w:t>Роли (5);</w:t>
      </w:r>
    </w:p>
    <w:p>
      <w:pPr>
        <w:pStyle w:val="Style15"/>
        <w:numPr>
          <w:ilvl w:val="0"/>
          <w:numId w:val="2"/>
        </w:numPr>
        <w:rPr/>
      </w:pPr>
      <w:r>
        <w:rPr/>
        <w:t>Расширение прав доступа (6).</w:t>
      </w:r>
    </w:p>
    <w:p>
      <w:pPr>
        <w:pStyle w:val="Style20"/>
        <w:rPr/>
      </w:pPr>
      <w:r>
        <w:rPr/>
        <w:drawing>
          <wp:inline distT="0" distB="0" distL="0" distR="0">
            <wp:extent cx="5712460" cy="5133340"/>
            <wp:effectExtent l="0" t="0" r="0" b="0"/>
            <wp:docPr id="67" name="Изображение9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96" descr="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l="0" t="0" r="51627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83" w:name="__RefNumPara__723_2313668851"/>
      <w:bookmarkEnd w:id="83"/>
      <w:r>
        <w:rPr/>
        <w:t>. Профиль пользователя</w:t>
      </w:r>
    </w:p>
    <w:p>
      <w:pPr>
        <w:pStyle w:val="Style14"/>
        <w:rPr/>
      </w:pPr>
      <w:r>
        <w:rPr/>
        <w:t>Для доступа к компонентам Подсистемы, администратору необходимо после создания профиля проверить и, при необходимости, заполнить следующие блоки: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«Подразделения»</w:t>
      </w:r>
      <w:r>
        <w:rPr/>
        <w:t xml:space="preserve"> - для указания подразделений пользователя;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«Сертификаты»</w:t>
      </w:r>
      <w:r>
        <w:rPr/>
        <w:t xml:space="preserve"> - для указания сертификатов электронной подписи пользователей, которые являются участниками процессов согласования и утверждения описей и актов уничтожения в Подсистеме;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 xml:space="preserve">«Роли» - </w:t>
      </w:r>
      <w:r>
        <w:rPr/>
        <w:t>для указания</w:t>
      </w:r>
      <w:r>
        <w:rPr>
          <w:b/>
          <w:bCs/>
        </w:rPr>
        <w:t xml:space="preserve"> </w:t>
      </w:r>
      <w:r>
        <w:rPr/>
        <w:t>системных ролей, назначенных пользователю, которые определяют уровень доступа к компонентам и функциям Подсистемы.</w:t>
      </w:r>
    </w:p>
    <w:p>
      <w:pPr>
        <w:pStyle w:val="3"/>
        <w:rPr/>
      </w:pPr>
      <w:bookmarkStart w:id="84" w:name="_Toc184909318"/>
      <w:r>
        <w:rPr/>
        <w:t>Изменение общей информации о пользователе</w:t>
      </w:r>
      <w:bookmarkEnd w:id="84"/>
    </w:p>
    <w:p>
      <w:pPr>
        <w:pStyle w:val="Style14"/>
        <w:rPr/>
      </w:pPr>
      <w:r>
        <w:rPr/>
        <w:t xml:space="preserve">В блоке </w:t>
      </w:r>
      <w:r>
        <w:rPr>
          <w:b/>
          <w:bCs/>
        </w:rPr>
        <w:t>«Общая информация»</w:t>
      </w:r>
      <w:r>
        <w:rPr/>
        <w:t xml:space="preserve"> пользователю с системной ролью </w:t>
      </w:r>
      <w:r>
        <w:rPr>
          <w:b/>
          <w:bCs/>
        </w:rPr>
        <w:t>«Администратор»</w:t>
      </w:r>
      <w:r>
        <w:rPr/>
        <w:t xml:space="preserve"> доступна функция редактирования общей информации о пользователе Подсистемы в части (</w:t>
      </w:r>
      <w:r>
        <w:rPr/>
        <w:fldChar w:fldCharType="begin"/>
      </w:r>
      <w:r>
        <w:rPr/>
        <w:instrText xml:space="preserve"> REF __RefNumPara__60344_1346437980 \n \h </w:instrText>
      </w:r>
      <w:r>
        <w:rPr/>
        <w:fldChar w:fldCharType="separate"/>
      </w:r>
      <w:r>
        <w:rPr/>
        <w:t>Рисунок 3.9</w:t>
      </w:r>
      <w:r>
        <w:rPr/>
        <w:fldChar w:fldCharType="end"/>
      </w:r>
      <w:r>
        <w:rPr/>
        <w:t>):</w:t>
      </w:r>
    </w:p>
    <w:p>
      <w:pPr>
        <w:pStyle w:val="Style15"/>
        <w:numPr>
          <w:ilvl w:val="0"/>
          <w:numId w:val="2"/>
        </w:numPr>
        <w:rPr/>
      </w:pPr>
      <w:r>
        <w:rPr/>
        <w:t>ФИО пользователя;</w:t>
      </w:r>
    </w:p>
    <w:p>
      <w:pPr>
        <w:pStyle w:val="Style15"/>
        <w:numPr>
          <w:ilvl w:val="0"/>
          <w:numId w:val="2"/>
        </w:numPr>
        <w:rPr>
          <w:lang w:val="en-US"/>
        </w:rPr>
      </w:pPr>
      <w:r>
        <w:rPr>
          <w:lang w:val="en-US"/>
        </w:rPr>
        <w:t>e-mail;</w:t>
      </w:r>
    </w:p>
    <w:p>
      <w:pPr>
        <w:pStyle w:val="Style15"/>
        <w:numPr>
          <w:ilvl w:val="0"/>
          <w:numId w:val="2"/>
        </w:numPr>
        <w:rPr/>
      </w:pPr>
      <w:r>
        <w:rPr/>
        <w:t>активация/деактивация функции двухфакторной аутентификации;</w:t>
      </w:r>
    </w:p>
    <w:p>
      <w:pPr>
        <w:pStyle w:val="Style15"/>
        <w:numPr>
          <w:ilvl w:val="0"/>
          <w:numId w:val="2"/>
        </w:numPr>
        <w:rPr/>
      </w:pPr>
      <w:r>
        <w:rPr/>
        <w:t>блокировка/разблокировка пользователя в подсистеме.</w:t>
      </w:r>
    </w:p>
    <w:p>
      <w:pPr>
        <w:pStyle w:val="Style14"/>
        <w:rPr/>
      </w:pPr>
      <w:r>
        <w:rPr/>
        <w:t xml:space="preserve">Для редактирования требуется нажать кнопку </w:t>
      </w:r>
      <w:r>
        <w:rPr/>
        <w:drawing>
          <wp:inline distT="0" distB="0" distL="0" distR="0">
            <wp:extent cx="296545" cy="332740"/>
            <wp:effectExtent l="0" t="0" r="0" b="0"/>
            <wp:docPr id="68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напротив необходимого параметра и внести изменения.</w:t>
      </w:r>
    </w:p>
    <w:p>
      <w:pPr>
        <w:pStyle w:val="Style14"/>
        <w:rPr/>
      </w:pPr>
      <w:r>
        <w:rPr/>
        <w:t xml:space="preserve">Далее нажать кнопку </w:t>
      </w:r>
      <w:r>
        <w:rPr/>
        <w:drawing>
          <wp:inline distT="0" distB="0" distL="0" distR="0">
            <wp:extent cx="297180" cy="304165"/>
            <wp:effectExtent l="0" t="0" r="0" b="0"/>
            <wp:docPr id="69" name="Изображение9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98" descr="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для сохранения, либо кнопку </w:t>
      </w:r>
      <w:r>
        <w:rPr/>
        <w:drawing>
          <wp:inline distT="0" distB="0" distL="0" distR="0">
            <wp:extent cx="304165" cy="311785"/>
            <wp:effectExtent l="0" t="0" r="0" b="0"/>
            <wp:docPr id="70" name="Изображение9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99" descr="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31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для отмены сохранения.</w:t>
      </w:r>
    </w:p>
    <w:p>
      <w:pPr>
        <w:pStyle w:val="Style20"/>
        <w:rPr/>
      </w:pPr>
      <w:r>
        <w:rPr/>
        <w:drawing>
          <wp:inline distT="0" distB="0" distL="0" distR="0">
            <wp:extent cx="6210300" cy="1441450"/>
            <wp:effectExtent l="0" t="0" r="0" b="0"/>
            <wp:docPr id="71" name="Изображение1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Изображение100" descr="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85" w:name="__RefNumPara__60344_1346437980"/>
      <w:bookmarkEnd w:id="85"/>
      <w:r>
        <w:rPr/>
        <w:t>. Редактирование блока «Общая информация»</w:t>
      </w:r>
    </w:p>
    <w:p>
      <w:pPr>
        <w:pStyle w:val="3"/>
        <w:rPr/>
      </w:pPr>
      <w:bookmarkStart w:id="86" w:name="_Toc184909319"/>
      <w:r>
        <w:rPr/>
        <w:t>Изменение пароля пользователя</w:t>
      </w:r>
      <w:bookmarkEnd w:id="86"/>
    </w:p>
    <w:p>
      <w:pPr>
        <w:pStyle w:val="Style14"/>
        <w:rPr>
          <w:color w:val="FF0000"/>
        </w:rPr>
      </w:pPr>
      <w:r>
        <w:rPr/>
        <w:t xml:space="preserve">Для изменения пароля пользователя следует нажать кнопку </w:t>
      </w:r>
      <w:r>
        <w:rPr>
          <w:b/>
          <w:bCs/>
        </w:rPr>
        <w:t>«Сбросить пароль»</w:t>
      </w:r>
      <w:r>
        <w:rPr/>
        <w:t xml:space="preserve">, которая находится в левой части под блоком </w:t>
      </w:r>
      <w:r>
        <w:rPr>
          <w:b/>
          <w:bCs/>
        </w:rPr>
        <w:t>«Общая информация»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__RefNumPara__6551_2825141506 \n \h </w:instrText>
      </w:r>
      <w:r>
        <w:rPr/>
        <w:fldChar w:fldCharType="separate"/>
      </w:r>
      <w:r>
        <w:rPr/>
        <w:t>Рисунок 3.10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2372360"/>
            <wp:effectExtent l="0" t="0" r="0" b="0"/>
            <wp:docPr id="72" name="Изображение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Изображение23" descr="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87" w:name="__RefNumPara__6551_2825141506"/>
      <w:bookmarkEnd w:id="87"/>
      <w:r>
        <w:rPr/>
        <w:t>. Кнопка сброса пароля пользователя</w:t>
      </w:r>
    </w:p>
    <w:p>
      <w:pPr>
        <w:pStyle w:val="Style14"/>
        <w:rPr>
          <w:color w:val="FF0000"/>
        </w:rPr>
      </w:pPr>
      <w:r>
        <w:rPr/>
        <w:t>После нажатия на кнопку откроется форма сброса пароля пользователя (</w:t>
      </w:r>
      <w:r>
        <w:rPr/>
        <w:fldChar w:fldCharType="begin"/>
      </w:r>
      <w:r>
        <w:rPr/>
        <w:instrText xml:space="preserve"> REF __RefNumPara__60849_1346437980 \n \h </w:instrText>
      </w:r>
      <w:r>
        <w:rPr/>
        <w:fldChar w:fldCharType="separate"/>
      </w:r>
      <w:r>
        <w:rPr/>
        <w:t>Рисунок 3.11</w:t>
      </w:r>
      <w:r>
        <w:rPr/>
        <w:fldChar w:fldCharType="end"/>
      </w:r>
      <w:r>
        <w:rPr/>
        <w:t xml:space="preserve">), в которую необходимо внести новый пароль (вручную или сгенерировать), подтвердить его и сохранить внесенные изменения нажав кнопку </w:t>
      </w:r>
      <w:r>
        <w:rPr>
          <w:b/>
          <w:bCs/>
        </w:rPr>
        <w:t>«Сохранить изменения»</w:t>
      </w:r>
      <w:r>
        <w:rPr/>
        <w:t>.</w:t>
      </w:r>
    </w:p>
    <w:p>
      <w:pPr>
        <w:pStyle w:val="Style20"/>
        <w:rPr/>
      </w:pPr>
      <w:r>
        <w:rPr/>
        <w:drawing>
          <wp:inline distT="0" distB="0" distL="0" distR="0">
            <wp:extent cx="4790440" cy="2685415"/>
            <wp:effectExtent l="0" t="0" r="0" b="0"/>
            <wp:docPr id="73" name="Изображение1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Изображение101" descr="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4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88" w:name="__RefNumPara__60849_1346437980"/>
      <w:bookmarkEnd w:id="88"/>
      <w:r>
        <w:rPr/>
        <w:t>. Форма сброса пароля пользователя</w:t>
      </w:r>
    </w:p>
    <w:p>
      <w:pPr>
        <w:pStyle w:val="3"/>
        <w:rPr/>
      </w:pPr>
      <w:bookmarkStart w:id="89" w:name="_Toc184909320"/>
      <w:r>
        <w:rPr/>
        <w:t>Указание подразделений пользователя</w:t>
      </w:r>
      <w:bookmarkEnd w:id="89"/>
    </w:p>
    <w:p>
      <w:pPr>
        <w:pStyle w:val="Style14"/>
        <w:rPr/>
      </w:pPr>
      <w:r>
        <w:rPr/>
        <w:t xml:space="preserve">Каждый пользователь Подсистемы может быть привязан к одному или нескольким подразделениям. </w:t>
      </w:r>
    </w:p>
    <w:p>
      <w:pPr>
        <w:pStyle w:val="Style14"/>
        <w:rPr/>
      </w:pPr>
      <w:r>
        <w:rPr/>
        <w:t xml:space="preserve">Подразделения позволяют разграничить видимость объектов между сотрудниками из разных подразделений. </w:t>
      </w:r>
    </w:p>
    <w:p>
      <w:pPr>
        <w:pStyle w:val="Style14"/>
        <w:rPr/>
      </w:pPr>
      <w:r>
        <w:rPr/>
        <w:t>Если у пользователя задано подразделение, то пользователь видит в Подсистеме только объекты (разделы номенклатур, дела, документы, описи и акты), относящиеся к этому подразделению.</w:t>
      </w:r>
    </w:p>
    <w:p>
      <w:pPr>
        <w:pStyle w:val="Style14"/>
        <w:rPr/>
      </w:pPr>
      <w:r>
        <w:rPr/>
        <w:t>Если у пользователя не задано ни одно подразделение, то он имеет доступ ко всем объектам Подсистемы.</w:t>
      </w:r>
    </w:p>
    <w:p>
      <w:pPr>
        <w:pStyle w:val="Style14"/>
        <w:rPr/>
      </w:pPr>
      <w:r>
        <w:rPr/>
        <w:t xml:space="preserve">Для заполнения и изменения данных блока </w:t>
      </w:r>
      <w:r>
        <w:rPr>
          <w:b/>
          <w:bCs/>
        </w:rPr>
        <w:t>«Подразделения»</w:t>
      </w:r>
      <w:r>
        <w:rPr/>
        <w:t xml:space="preserve"> пользователя необходимо нажать на кнопку редактирования </w:t>
      </w:r>
      <w:r>
        <w:rPr/>
        <w:drawing>
          <wp:inline distT="0" distB="0" distL="0" distR="0">
            <wp:extent cx="296545" cy="332740"/>
            <wp:effectExtent l="0" t="0" r="0" b="0"/>
            <wp:docPr id="74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в правой части экрана </w:t>
        <w:br/>
        <w:t>(</w:t>
      </w:r>
      <w:r>
        <w:rPr/>
        <w:fldChar w:fldCharType="begin"/>
      </w:r>
      <w:r>
        <w:rPr/>
        <w:instrText xml:space="preserve"> REF __RefNumPara__61359_1346437980 \n \h </w:instrText>
      </w:r>
      <w:r>
        <w:rPr/>
        <w:fldChar w:fldCharType="separate"/>
      </w:r>
      <w:r>
        <w:rPr/>
        <w:t>Рисунок 3.12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5947410" cy="561975"/>
            <wp:effectExtent l="0" t="0" r="0" b="0"/>
            <wp:docPr id="75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90" w:name="__RefNumPara__61359_1346437980"/>
      <w:bookmarkEnd w:id="90"/>
      <w:r>
        <w:rPr/>
        <w:t>. Переход в режим редактирования блока «Подразделения»</w:t>
      </w:r>
    </w:p>
    <w:p>
      <w:pPr>
        <w:pStyle w:val="Style14"/>
        <w:rPr/>
      </w:pPr>
      <w:r>
        <w:rPr/>
        <w:t xml:space="preserve">Далее нажать кнопку </w:t>
      </w:r>
      <w:r>
        <w:rPr>
          <w:b/>
          <w:bCs/>
        </w:rPr>
        <w:t>«Добавить подразделение»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__RefNumPara__61361_1346437980 \n \h </w:instrText>
      </w:r>
      <w:r>
        <w:rPr/>
        <w:fldChar w:fldCharType="separate"/>
      </w:r>
      <w:r>
        <w:rPr/>
        <w:t>Рисунок 3.13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100445" cy="784860"/>
            <wp:effectExtent l="0" t="0" r="0" b="0"/>
            <wp:docPr id="76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91" w:name="__RefNumPara__61361_1346437980"/>
      <w:bookmarkEnd w:id="91"/>
      <w:r>
        <w:rPr/>
        <w:t>. Кнопка «Добавить подразделение»</w:t>
      </w:r>
    </w:p>
    <w:p>
      <w:pPr>
        <w:pStyle w:val="Style14"/>
        <w:rPr/>
      </w:pPr>
      <w:r>
        <w:rPr/>
        <w:t xml:space="preserve">В графе </w:t>
      </w:r>
      <w:r>
        <w:rPr>
          <w:b/>
          <w:bCs/>
        </w:rPr>
        <w:t>«Наименование»</w:t>
      </w:r>
      <w:r>
        <w:rPr/>
        <w:t xml:space="preserve"> выбрать из выпадающего списка нужное подразделение, указать поля </w:t>
      </w:r>
      <w:r>
        <w:rPr>
          <w:b/>
          <w:bCs/>
        </w:rPr>
        <w:t>«Начало действия»</w:t>
      </w:r>
      <w:r>
        <w:rPr/>
        <w:t xml:space="preserve"> и </w:t>
      </w:r>
      <w:r>
        <w:rPr>
          <w:b/>
          <w:bCs/>
        </w:rPr>
        <w:t>«Окончание действия»</w:t>
      </w:r>
      <w:r>
        <w:rPr/>
        <w:t xml:space="preserve"> и нажать на графическую кнопку  сохранения </w:t>
      </w:r>
      <w:r>
        <w:rPr/>
        <w:drawing>
          <wp:inline distT="0" distB="0" distL="0" distR="0">
            <wp:extent cx="297180" cy="304165"/>
            <wp:effectExtent l="0" t="0" r="0" b="0"/>
            <wp:docPr id="77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в конце строки (</w:t>
      </w:r>
      <w:r>
        <w:rPr/>
        <w:fldChar w:fldCharType="begin"/>
      </w:r>
      <w:r>
        <w:rPr/>
        <w:instrText xml:space="preserve"> REF __RefNumPara__61363_1346437980 \n \h </w:instrText>
      </w:r>
      <w:r>
        <w:rPr/>
        <w:fldChar w:fldCharType="separate"/>
      </w:r>
      <w:r>
        <w:rPr/>
        <w:t>Рисунок 3.14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116955" cy="845185"/>
            <wp:effectExtent l="0" t="0" r="0" b="0"/>
            <wp:docPr id="78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92" w:name="__RefNumPara__61363_1346437980"/>
      <w:bookmarkEnd w:id="92"/>
      <w:r>
        <w:rPr/>
        <w:t>. Сохранение подразделения</w:t>
      </w:r>
    </w:p>
    <w:p>
      <w:pPr>
        <w:pStyle w:val="Style14"/>
        <w:rPr/>
      </w:pPr>
      <w:r>
        <w:rPr/>
        <w:t>Подразделение добавлено.</w:t>
      </w:r>
    </w:p>
    <w:p>
      <w:pPr>
        <w:pStyle w:val="Style14"/>
        <w:rPr/>
      </w:pPr>
      <w:r>
        <w:rPr/>
        <w:t xml:space="preserve">Одному пользователю можно указать более одного подразделения. Добавить еще одно подразделение можно нажав на кнопку </w:t>
      </w:r>
      <w:r>
        <w:rPr>
          <w:b/>
          <w:bCs/>
        </w:rPr>
        <w:t>«Добавить подразделение»</w:t>
      </w:r>
      <w:r>
        <w:rPr/>
        <w:t>.</w:t>
      </w:r>
    </w:p>
    <w:p>
      <w:pPr>
        <w:pStyle w:val="3"/>
        <w:rPr/>
      </w:pPr>
      <w:bookmarkStart w:id="93" w:name="_Toc184909321"/>
      <w:r>
        <w:rPr/>
        <w:t>Указание сертификатов электронной подписи пользователя</w:t>
      </w:r>
      <w:bookmarkEnd w:id="93"/>
    </w:p>
    <w:p>
      <w:pPr>
        <w:pStyle w:val="Style14"/>
        <w:rPr/>
      </w:pPr>
      <w:r>
        <w:rPr/>
        <w:t xml:space="preserve">Для заполнения или редактирования блока </w:t>
      </w:r>
      <w:r>
        <w:rPr>
          <w:b/>
          <w:bCs/>
        </w:rPr>
        <w:t>«Сертификаты»</w:t>
      </w:r>
      <w:r>
        <w:rPr/>
        <w:t xml:space="preserve"> необходимо нажать на кнопку редактирования </w:t>
      </w:r>
      <w:r>
        <w:rPr/>
        <w:drawing>
          <wp:inline distT="0" distB="0" distL="0" distR="0">
            <wp:extent cx="296545" cy="332740"/>
            <wp:effectExtent l="0" t="0" r="0" b="0"/>
            <wp:docPr id="79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в правой части экрана (</w:t>
      </w:r>
      <w:r>
        <w:rPr/>
        <w:fldChar w:fldCharType="begin"/>
      </w:r>
      <w:r>
        <w:rPr/>
        <w:instrText xml:space="preserve"> REF __RefNumPara__61365_1346437980 \n \h </w:instrText>
      </w:r>
      <w:r>
        <w:rPr/>
        <w:fldChar w:fldCharType="separate"/>
      </w:r>
      <w:r>
        <w:rPr/>
        <w:t>Рисунок 3.15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096635" cy="557530"/>
            <wp:effectExtent l="0" t="0" r="0" b="0"/>
            <wp:docPr id="80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rPr/>
      </w:pPr>
      <w:bookmarkStart w:id="94" w:name="__RefNumPara__61365_1346437980"/>
      <w:bookmarkEnd w:id="94"/>
      <w:r>
        <w:rPr/>
        <w:t>. Переход в режим редактирования блока «Сертификаты»</w:t>
      </w:r>
    </w:p>
    <w:p>
      <w:pPr>
        <w:pStyle w:val="Style14"/>
        <w:rPr/>
      </w:pPr>
      <w:r>
        <w:rPr/>
        <w:t xml:space="preserve">Далее, нажать кнопку </w:t>
      </w:r>
      <w:r>
        <w:rPr>
          <w:b/>
          <w:bCs/>
        </w:rPr>
        <w:t>«Добавить сертификат»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__RefNumPara__61367_1346437980 \n \h </w:instrText>
      </w:r>
      <w:r>
        <w:rPr/>
        <w:fldChar w:fldCharType="separate"/>
      </w:r>
      <w:r>
        <w:rPr/>
        <w:t>Рисунок 3.16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116955" cy="698500"/>
            <wp:effectExtent l="0" t="0" r="0" b="0"/>
            <wp:docPr id="81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95" w:name="__RefNumPara__61367_1346437980"/>
      <w:bookmarkEnd w:id="95"/>
      <w:r>
        <w:rPr/>
        <w:t>. Кнопка «Добавить сертификат»</w:t>
      </w:r>
    </w:p>
    <w:p>
      <w:pPr>
        <w:pStyle w:val="Style14"/>
        <w:rPr/>
      </w:pPr>
      <w:r>
        <w:rPr/>
        <w:t xml:space="preserve">В графе </w:t>
      </w:r>
      <w:r>
        <w:rPr>
          <w:b/>
          <w:bCs/>
        </w:rPr>
        <w:t>«Номер»</w:t>
      </w:r>
      <w:r>
        <w:rPr/>
        <w:t xml:space="preserve"> из выпадающего списка (Рисунок 3.17) выбрать нужный сертификат.</w:t>
      </w:r>
    </w:p>
    <w:p>
      <w:pPr>
        <w:pStyle w:val="Style14"/>
        <w:shd w:val="clear" w:color="auto" w:fill="DDDDDD"/>
        <w:rPr>
          <w:i/>
          <w:i/>
          <w:iCs/>
        </w:rPr>
      </w:pPr>
      <w:r>
        <w:rPr>
          <w:b/>
          <w:bCs/>
          <w:i/>
          <w:iCs/>
        </w:rPr>
        <w:t>Примечание:</w:t>
      </w:r>
      <w:r>
        <w:rPr>
          <w:i/>
          <w:iCs/>
        </w:rPr>
        <w:t xml:space="preserve"> Для предварительной загрузки в Подсистему имеющихся в организации сертификатов электронной подписи обратитесь за консультацией в техническую поддержку Подсистемы.</w:t>
      </w:r>
    </w:p>
    <w:p>
      <w:pPr>
        <w:pStyle w:val="Style14"/>
        <w:rPr/>
      </w:pPr>
      <w:r>
        <w:rPr/>
        <w:t xml:space="preserve">Перейти в графу </w:t>
      </w:r>
      <w:r>
        <w:rPr>
          <w:b/>
          <w:bCs/>
        </w:rPr>
        <w:t>«Назначение»</w:t>
      </w:r>
      <w:r>
        <w:rPr/>
        <w:t xml:space="preserve"> из выпадающего списка выбрать назначение для сертификата: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«ЭП АК»</w:t>
      </w:r>
      <w:r>
        <w:rPr/>
        <w:t xml:space="preserve"> – (электронная подпись архивных контейнеров) - подписание архивных контейнеров;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«ЭП ТК»</w:t>
      </w:r>
      <w:r>
        <w:rPr/>
        <w:t xml:space="preserve"> - (электронная подпись транспортного контейнера) – подписание транспортных контейнеров;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«ЭП на хэш квитанции АК»</w:t>
      </w:r>
      <w:r>
        <w:rPr/>
        <w:t xml:space="preserve"> – продление юридической значимости архивных контейнеров;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«ЭП описи»</w:t>
      </w:r>
      <w:r>
        <w:rPr/>
        <w:t xml:space="preserve"> – для подписания проектов описи дел/документов, актов об уничтожении.</w:t>
      </w:r>
    </w:p>
    <w:p>
      <w:pPr>
        <w:pStyle w:val="Style20"/>
        <w:rPr/>
      </w:pPr>
      <w:r>
        <w:rPr/>
        <w:drawing>
          <wp:inline distT="0" distB="0" distL="0" distR="0">
            <wp:extent cx="5760085" cy="787400"/>
            <wp:effectExtent l="0" t="0" r="0" b="0"/>
            <wp:docPr id="82" name="Изображение1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Изображение102" descr="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r>
        <w:rPr/>
        <w:t>. Форма заполнения данных сертификата</w:t>
      </w:r>
    </w:p>
    <w:p>
      <w:pPr>
        <w:pStyle w:val="Style14"/>
        <w:rPr/>
      </w:pPr>
      <w:r>
        <w:rPr/>
        <w:t xml:space="preserve">Также существует возможность добавления к сертификату файла машиночитаемой доверенности. После нажатия на графическую кнопку </w:t>
      </w:r>
      <w:r>
        <w:rPr/>
        <w:drawing>
          <wp:inline distT="0" distB="0" distL="0" distR="0">
            <wp:extent cx="247650" cy="247650"/>
            <wp:effectExtent l="0" t="0" r="0" b="0"/>
            <wp:docPr id="83" name="Изображение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Изображение26" descr="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в столбце </w:t>
      </w:r>
      <w:r>
        <w:rPr>
          <w:b/>
          <w:bCs/>
        </w:rPr>
        <w:t>«МЧД»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__RefNumPara__61638_1346437980 \n \h </w:instrText>
      </w:r>
      <w:r>
        <w:rPr/>
        <w:fldChar w:fldCharType="separate"/>
      </w:r>
      <w:r>
        <w:rPr/>
        <w:t>Рисунок 3.18</w:t>
      </w:r>
      <w:r>
        <w:rPr/>
        <w:fldChar w:fldCharType="end"/>
      </w:r>
      <w:r>
        <w:rPr/>
        <w:t>), откроется окно, в котором будет предложено выбрать файл МЧД. Если к сертификату приложена МЧД, при подписании этим сертификатом в состав контейнера будет добавлен файл МЧД.</w:t>
      </w:r>
    </w:p>
    <w:p>
      <w:pPr>
        <w:pStyle w:val="Style20"/>
        <w:rPr/>
      </w:pPr>
      <w:r>
        <w:rPr/>
        <w:drawing>
          <wp:inline distT="0" distB="0" distL="0" distR="0">
            <wp:extent cx="6123940" cy="862965"/>
            <wp:effectExtent l="0" t="0" r="0" b="0"/>
            <wp:docPr id="84" name="Изображение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Изображение16" descr="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96" w:name="__RefNumPara__61638_1346437980"/>
      <w:bookmarkEnd w:id="96"/>
      <w:r>
        <w:rPr/>
        <w:t>. Добавление файла МЧД к сертификату электронной подписи</w:t>
      </w:r>
    </w:p>
    <w:p>
      <w:pPr>
        <w:pStyle w:val="Style14"/>
        <w:rPr/>
      </w:pPr>
      <w:r>
        <w:rPr/>
        <w:t xml:space="preserve">После добавления всей необходимой информации, нажать кнопку сохранения </w:t>
      </w:r>
      <w:r>
        <w:rPr/>
        <w:drawing>
          <wp:inline distT="0" distB="0" distL="0" distR="0">
            <wp:extent cx="297180" cy="304165"/>
            <wp:effectExtent l="0" t="0" r="0" b="0"/>
            <wp:docPr id="85" name="Изображение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Изображение17" descr="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(</w:t>
      </w:r>
      <w:r>
        <w:rPr/>
        <w:fldChar w:fldCharType="begin"/>
      </w:r>
      <w:r>
        <w:rPr/>
        <w:instrText xml:space="preserve"> REF __RefNumPara__7582_4109250701 \n \h </w:instrText>
      </w:r>
      <w:r>
        <w:rPr/>
        <w:fldChar w:fldCharType="separate"/>
      </w:r>
      <w:r>
        <w:rPr/>
        <w:t>Рисунок 3.19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115050" cy="890270"/>
            <wp:effectExtent l="0" t="0" r="0" b="0"/>
            <wp:docPr id="86" name="Изображение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Изображение18" descr="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97" w:name="__RefNumPara__7582_4109250701"/>
      <w:bookmarkEnd w:id="97"/>
      <w:r>
        <w:rPr/>
        <w:t>. Сохранение изменений блока «Сертификаты»</w:t>
      </w:r>
    </w:p>
    <w:p>
      <w:pPr>
        <w:pStyle w:val="Style14"/>
        <w:rPr/>
      </w:pPr>
      <w:r>
        <w:rPr/>
        <w:t>Подтвердить сохранение во всплывающем окне.</w:t>
      </w:r>
    </w:p>
    <w:p>
      <w:pPr>
        <w:pStyle w:val="Style14"/>
        <w:rPr/>
      </w:pPr>
      <w:r>
        <w:rPr/>
        <w:t>Сертификат добавлен (</w:t>
      </w:r>
      <w:r>
        <w:rPr/>
        <w:fldChar w:fldCharType="begin"/>
      </w:r>
      <w:r>
        <w:rPr/>
        <w:instrText xml:space="preserve"> REF __RefNumPara__783_2313668851 \n \h </w:instrText>
      </w:r>
      <w:r>
        <w:rPr/>
        <w:fldChar w:fldCharType="separate"/>
      </w:r>
      <w:r>
        <w:rPr/>
        <w:t>Рисунок 3.20</w:t>
      </w:r>
      <w:r>
        <w:rPr/>
        <w:fldChar w:fldCharType="end"/>
      </w:r>
      <w:r>
        <w:rPr/>
        <w:t xml:space="preserve">). 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085840" cy="593090"/>
            <wp:effectExtent l="0" t="0" r="0" b="0"/>
            <wp:docPr id="87" name="Изображение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Изображение19" descr="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84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98" w:name="__RefNumPara__783_2313668851"/>
      <w:bookmarkEnd w:id="98"/>
      <w:r>
        <w:rPr/>
        <w:t>. Результат добавления сертификата электронной подписи</w:t>
      </w:r>
    </w:p>
    <w:p>
      <w:pPr>
        <w:pStyle w:val="3"/>
        <w:rPr/>
      </w:pPr>
      <w:bookmarkStart w:id="99" w:name="_Toc184909322"/>
      <w:r>
        <w:rPr/>
        <w:t>Назначение ролей пользователю</w:t>
      </w:r>
      <w:bookmarkEnd w:id="99"/>
    </w:p>
    <w:p>
      <w:pPr>
        <w:pStyle w:val="Style14"/>
        <w:rPr/>
      </w:pPr>
      <w:r>
        <w:rPr/>
        <w:t>Основным инструментом для предоставления различных прав доступа пользователей в Подсистему является назначение ролей пользователю.</w:t>
      </w:r>
    </w:p>
    <w:p>
      <w:pPr>
        <w:pStyle w:val="Style14"/>
        <w:rPr/>
      </w:pPr>
      <w:r>
        <w:rPr/>
        <w:t>В зависимости от назначенной системной роли, пользователь имеет доступ к определенным разделам главного меню Подсистемы и функциям работы с объектами (номенклатурами, делами, документами, описями, актами, справочниками, настройками).</w:t>
      </w:r>
    </w:p>
    <w:p>
      <w:pPr>
        <w:pStyle w:val="Style14"/>
        <w:rPr/>
      </w:pPr>
      <w:r>
        <w:rPr/>
        <w:t>В Подсистеме по умолчанию предусмотрены следующие системные роли: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«Администратор»</w:t>
      </w:r>
      <w:r>
        <w:rPr/>
        <w:t xml:space="preserve"> - сотрудник организации, которому предоставлены права на настройку Подсистемы для работы в организации, ведения справочников нормативно-справочной информации, ведения списка пользователей (их системных ролей, сертификатов подписей, принадлежность к подразделениям) и регулирования прочих параметров доступа сотрудников организации в Подсистему.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«Сотрудник ОИК»</w:t>
      </w:r>
      <w:r>
        <w:rPr/>
        <w:t xml:space="preserve"> - сотрудник организации, которому предоставлены права на ведение номенклатур, дел и документов (создание, редактирование, закрытие). Сотруднику ОИК доступно создание и редактирование сдаточных описей, а также их отправка на согласование.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 xml:space="preserve">«Составитель описи» - </w:t>
      </w:r>
      <w:r>
        <w:rPr/>
        <w:t>сотрудник организации, которому предоставлены права на составление сдаточных и сводных описей дел, а также доступна функция отправки описей на согласование.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«Архивист»</w:t>
      </w:r>
      <w:r>
        <w:rPr/>
        <w:t xml:space="preserve"> - сотрудник организации, которому предоставлены права на согласование сдаточных описей, отправку актов уничтожения на согласование. Также архивисту открыт доступ на создание и редактирование номенклатур дел, дел, документов, сдаточных и сводных описей дел, но недоступна их отправка на согласование.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«Руководитель ОИК»</w:t>
      </w:r>
      <w:r>
        <w:rPr/>
        <w:t xml:space="preserve"> - сотрудник организации, которому предоставлены права на утверждение сдаточных описей дел/документов (руководитель структурного подразделения ОИК).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«Руководитель архива ОИК»</w:t>
      </w:r>
      <w:r>
        <w:rPr/>
        <w:t xml:space="preserve"> - сотрудник организации, которому предоставлены права на утверждение сводных описей дел/документов, актов уничтожения (дополнительно должен быть добавлен в справочник участников согласований как «Ответственный за архив» , подробнее см. в разделе </w:t>
      </w:r>
      <w:r>
        <w:rPr/>
        <w:fldChar w:fldCharType="begin"/>
      </w:r>
      <w:r>
        <w:rPr/>
        <w:instrText xml:space="preserve"> REF __RefNumPara__39180_4109250701 \n \h </w:instrText>
      </w:r>
      <w:r>
        <w:rPr/>
        <w:fldChar w:fldCharType="separate"/>
      </w:r>
      <w:r>
        <w:rPr/>
        <w:t>2.4</w:t>
      </w:r>
      <w:r>
        <w:rPr/>
        <w:fldChar w:fldCharType="end"/>
      </w:r>
      <w:r>
        <w:rPr/>
        <w:t xml:space="preserve"> </w:t>
      </w:r>
      <w:r>
        <w:rPr/>
        <w:fldChar w:fldCharType="begin"/>
      </w:r>
      <w:r>
        <w:rPr/>
        <w:instrText xml:space="preserve"> REF _Ref184905534 \h </w:instrText>
      </w:r>
      <w:r>
        <w:rPr/>
        <w:fldChar w:fldCharType="separate"/>
      </w:r>
      <w:r>
        <w:rPr/>
        <w:t>Справочник «Участники согласований»</w:t>
      </w:r>
      <w:r>
        <w:rPr/>
        <w:fldChar w:fldCharType="end"/>
      </w:r>
      <w:r>
        <w:rPr/>
        <w:fldChar w:fldCharType="begin"/>
      </w:r>
      <w:r>
        <w:rPr/>
        <w:instrText xml:space="preserve"> REF __RefNumPara__39180_4109250701 \h </w:instrText>
      </w:r>
      <w:r>
        <w:rPr/>
        <w:fldChar w:fldCharType="separate"/>
      </w:r>
      <w:r>
        <w:rPr/>
      </w:r>
      <w:r>
        <w:rPr/>
        <w:fldChar w:fldCharType="end"/>
      </w:r>
      <w:r>
        <w:rPr/>
        <w:t>).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«Эксперт»</w:t>
      </w:r>
      <w:r>
        <w:rPr/>
        <w:t xml:space="preserve"> - сотрудник организации, который может быть добавлен в состав ЭК ОИК для вынесения решения в составе ЭК ОИК при согласовании сводных описей и актов уничтожения (дополнительно должен быть добавлен в справочник участников согласований как «Согласующий» или «Председатель комиссии», подробнее </w:t>
        <w:br/>
        <w:t xml:space="preserve">см. в разделе </w:t>
      </w:r>
      <w:r>
        <w:rPr/>
        <w:fldChar w:fldCharType="begin"/>
      </w:r>
      <w:r>
        <w:rPr/>
        <w:instrText xml:space="preserve"> REF __RefNumPara__39180_4109250701 \n \h </w:instrText>
      </w:r>
      <w:r>
        <w:rPr/>
        <w:fldChar w:fldCharType="separate"/>
      </w:r>
      <w:r>
        <w:rPr/>
        <w:t>2.4</w:t>
      </w:r>
      <w:r>
        <w:rPr/>
        <w:fldChar w:fldCharType="end"/>
      </w:r>
      <w:r>
        <w:rPr/>
        <w:t xml:space="preserve"> </w:t>
      </w:r>
      <w:r>
        <w:rPr/>
        <w:fldChar w:fldCharType="begin"/>
      </w:r>
      <w:r>
        <w:rPr/>
        <w:instrText xml:space="preserve"> REF _Ref184905534 \h </w:instrText>
      </w:r>
      <w:r>
        <w:rPr/>
        <w:fldChar w:fldCharType="separate"/>
      </w:r>
      <w:r>
        <w:rPr/>
        <w:t>Справочник «Участники согласований»</w:t>
      </w:r>
      <w:r>
        <w:rPr/>
        <w:fldChar w:fldCharType="end"/>
      </w:r>
      <w:r>
        <w:rPr/>
        <w:fldChar w:fldCharType="begin"/>
      </w:r>
      <w:r>
        <w:rPr/>
        <w:instrText xml:space="preserve"> REF __RefNumPara__39180_4109250701 \h </w:instrText>
      </w:r>
      <w:r>
        <w:rPr/>
        <w:fldChar w:fldCharType="separate"/>
      </w:r>
      <w:r>
        <w:rPr/>
      </w:r>
      <w:r>
        <w:rPr/>
        <w:fldChar w:fldCharType="end"/>
      </w:r>
      <w:r>
        <w:rPr/>
        <w:t>).</w:t>
      </w:r>
    </w:p>
    <w:p>
      <w:pPr>
        <w:pStyle w:val="Style14"/>
        <w:rPr/>
      </w:pPr>
      <w:r>
        <w:rPr/>
        <w:t>Подробное описание прав доступа к функциям и компонентам Подсистемы приведены разделе «Приложение», а также в «Приложении А» документа «Руководство пользователя Подсистемы», доступном на официальном сайте ГИС «Платформа «ЦХЭД» в разделе «Нормативная документация» (https://platform-eadsc.voskhod.ru/docs).</w:t>
      </w:r>
    </w:p>
    <w:p>
      <w:pPr>
        <w:pStyle w:val="Style14"/>
        <w:rPr/>
      </w:pPr>
      <w:r>
        <w:rPr/>
        <w:t xml:space="preserve">Для заполнения блока </w:t>
      </w:r>
      <w:r>
        <w:rPr>
          <w:b/>
          <w:bCs/>
        </w:rPr>
        <w:t>«Роли»</w:t>
      </w:r>
      <w:r>
        <w:rPr/>
        <w:t xml:space="preserve"> необходимо нажать на графическую кнопку редактирования </w:t>
      </w:r>
      <w:r>
        <w:rPr/>
        <w:drawing>
          <wp:inline distT="0" distB="0" distL="0" distR="0">
            <wp:extent cx="296545" cy="332740"/>
            <wp:effectExtent l="0" t="0" r="0" b="0"/>
            <wp:docPr id="88" name="Изображение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Изображение20" descr="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в правой части экрана (</w:t>
      </w:r>
      <w:r>
        <w:rPr/>
        <w:fldChar w:fldCharType="begin"/>
      </w:r>
      <w:r>
        <w:rPr/>
        <w:instrText xml:space="preserve"> REF __RefNumPara__61912_1346437980 \n \h </w:instrText>
      </w:r>
      <w:r>
        <w:rPr/>
        <w:fldChar w:fldCharType="separate"/>
      </w:r>
      <w:r>
        <w:rPr/>
        <w:t>Рисунок 3.21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083935" cy="515620"/>
            <wp:effectExtent l="0" t="0" r="0" b="0"/>
            <wp:docPr id="89" name="Изображение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Изображение21" descr="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00" w:name="__RefNumPara__61912_1346437980"/>
      <w:bookmarkEnd w:id="100"/>
      <w:r>
        <w:rPr/>
        <w:t>. Переход в режим редактирования блока «Роли» профиля пользователя</w:t>
      </w:r>
    </w:p>
    <w:p>
      <w:pPr>
        <w:pStyle w:val="Style14"/>
        <w:rPr/>
      </w:pPr>
      <w:r>
        <w:rPr/>
        <w:t xml:space="preserve">Далее, нажать кнопку </w:t>
      </w:r>
      <w:r>
        <w:rPr>
          <w:b/>
          <w:bCs/>
        </w:rPr>
        <w:t>«Добавить роль»</w:t>
      </w:r>
      <w:r>
        <w:rPr/>
        <w:t xml:space="preserve"> (</w:t>
      </w:r>
      <w:r>
        <w:rPr/>
        <w:fldChar w:fldCharType="begin"/>
      </w:r>
      <w:r>
        <w:rPr/>
        <w:instrText xml:space="preserve"> REF __RefNumPara__61914_1346437980 \n \h </w:instrText>
      </w:r>
      <w:r>
        <w:rPr/>
        <w:fldChar w:fldCharType="separate"/>
      </w:r>
      <w:r>
        <w:rPr/>
        <w:t>Рисунок 3.22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073140" cy="777875"/>
            <wp:effectExtent l="0" t="0" r="0" b="0"/>
            <wp:docPr id="90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01" w:name="__RefNumPara__61914_1346437980"/>
      <w:bookmarkEnd w:id="101"/>
      <w:r>
        <w:rPr/>
        <w:t>. Кнопка «Добавить роль»</w:t>
      </w:r>
    </w:p>
    <w:p>
      <w:pPr>
        <w:pStyle w:val="Style14"/>
        <w:rPr/>
      </w:pPr>
      <w:r>
        <w:rPr/>
        <w:t xml:space="preserve">В графе </w:t>
      </w:r>
      <w:r>
        <w:rPr>
          <w:b/>
          <w:bCs/>
        </w:rPr>
        <w:t>«Наименование»</w:t>
      </w:r>
      <w:r>
        <w:rPr/>
        <w:t xml:space="preserve"> из выпадающего списка выбрать роль для пользователя. В зависимости от выбранной роли, пользователю будут присвоены права доступа к компонентам Подсистемы. Одному пользователю может быть присвоено несколько ролей.</w:t>
      </w:r>
    </w:p>
    <w:p>
      <w:pPr>
        <w:pStyle w:val="Style14"/>
        <w:rPr/>
      </w:pPr>
      <w:r>
        <w:rPr/>
        <w:t>После добавления необходимой роли, нажать на графическую кнопку сохранения (</w:t>
      </w:r>
      <w:r>
        <w:rPr/>
        <w:fldChar w:fldCharType="begin"/>
      </w:r>
      <w:r>
        <w:rPr/>
        <w:instrText xml:space="preserve"> REF __RefNumPara__61916_1346437980 \n \h </w:instrText>
      </w:r>
      <w:r>
        <w:rPr/>
        <w:fldChar w:fldCharType="separate"/>
      </w:r>
      <w:r>
        <w:rPr/>
        <w:t>Рисунок 3.23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095365" cy="794385"/>
            <wp:effectExtent l="0" t="0" r="0" b="0"/>
            <wp:docPr id="91" name="Изображение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Изображение24" descr="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02" w:name="__RefNumPara__61916_1346437980"/>
      <w:bookmarkEnd w:id="102"/>
      <w:r>
        <w:rPr/>
        <w:t>. Сохранение изменений блока «Роли»</w:t>
      </w:r>
    </w:p>
    <w:p>
      <w:pPr>
        <w:pStyle w:val="Style14"/>
        <w:rPr/>
      </w:pPr>
      <w:r>
        <w:rPr/>
        <w:t>Роль добавлена (</w:t>
      </w:r>
      <w:r>
        <w:rPr/>
        <w:fldChar w:fldCharType="begin"/>
      </w:r>
      <w:r>
        <w:rPr/>
        <w:instrText xml:space="preserve"> REF __RefNumPara__61918_1346437980 \n \h </w:instrText>
      </w:r>
      <w:r>
        <w:rPr/>
        <w:fldChar w:fldCharType="separate"/>
      </w:r>
      <w:r>
        <w:rPr/>
        <w:t>Рисунок 3.24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060440" cy="533400"/>
            <wp:effectExtent l="0" t="0" r="0" b="0"/>
            <wp:docPr id="92" name="Изображение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Изображение27" descr="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03" w:name="__RefNumPara__61918_1346437980"/>
      <w:bookmarkEnd w:id="103"/>
      <w:r>
        <w:rPr/>
        <w:t>. Результат добавления роли пользователю</w:t>
      </w:r>
    </w:p>
    <w:p>
      <w:pPr>
        <w:pStyle w:val="Style14"/>
        <w:rPr/>
      </w:pPr>
      <w:r>
        <w:rPr/>
        <w:t xml:space="preserve">В блоке </w:t>
      </w:r>
      <w:r>
        <w:rPr>
          <w:b/>
          <w:bCs/>
        </w:rPr>
        <w:t>«Расширение прав доступа»</w:t>
      </w:r>
      <w:r>
        <w:rPr/>
        <w:t xml:space="preserve"> после добавления роли/ролей для пользователя будут указаны права на компоненты в Подсистеме (</w:t>
      </w:r>
      <w:r>
        <w:rPr/>
        <w:fldChar w:fldCharType="begin"/>
      </w:r>
      <w:r>
        <w:rPr/>
        <w:instrText xml:space="preserve"> REF __RefNumPara__70285_1346437980 \n \h </w:instrText>
      </w:r>
      <w:r>
        <w:rPr/>
        <w:fldChar w:fldCharType="separate"/>
      </w:r>
      <w:r>
        <w:rPr/>
        <w:t>Рисунок 3.25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6118860" cy="2566035"/>
            <wp:effectExtent l="0" t="0" r="0" b="0"/>
            <wp:docPr id="93" name="Изображение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Изображение29" descr="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04" w:name="__RefNumPara__70285_1346437980"/>
      <w:bookmarkEnd w:id="104"/>
      <w:r>
        <w:rPr/>
        <w:t>. Информация о правах доступа на компоненты Подсистемы пользователя в соответствии с его системной ролью</w:t>
      </w:r>
    </w:p>
    <w:p>
      <w:pPr>
        <w:pStyle w:val="Style14"/>
        <w:rPr/>
      </w:pPr>
      <w:r>
        <w:rPr/>
        <w:t xml:space="preserve">После завершения заполнения профиля пользователя необходимо нажать кнопку </w:t>
      </w:r>
      <w:r>
        <w:rPr>
          <w:b/>
          <w:bCs/>
        </w:rPr>
        <w:t>«Закрыть»</w:t>
      </w:r>
      <w:r>
        <w:rPr/>
        <w:t xml:space="preserve"> в правом нижнем углу экранной формы (</w:t>
      </w:r>
      <w:r>
        <w:rPr/>
        <w:fldChar w:fldCharType="begin"/>
      </w:r>
      <w:r>
        <w:rPr/>
        <w:instrText xml:space="preserve"> REF __RefNumPara__61920_1346437980 \n \h </w:instrText>
      </w:r>
      <w:r>
        <w:rPr/>
        <w:fldChar w:fldCharType="separate"/>
      </w:r>
      <w:r>
        <w:rPr/>
        <w:t>Рисунок 3.26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t xml:space="preserve"> </w:t>
      </w:r>
      <w:r>
        <w:rPr/>
        <w:drawing>
          <wp:inline distT="0" distB="0" distL="0" distR="0">
            <wp:extent cx="5976620" cy="3072130"/>
            <wp:effectExtent l="0" t="0" r="0" b="0"/>
            <wp:docPr id="94" name="Изображение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Изображение30" descr="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05" w:name="__RefNumPara__61920_1346437980"/>
      <w:bookmarkEnd w:id="105"/>
      <w:r>
        <w:rPr/>
        <w:t>. Кнопка «Закрыть» в профиле пользователя</w:t>
      </w:r>
    </w:p>
    <w:p>
      <w:pPr>
        <w:pStyle w:val="Style14"/>
        <w:rPr/>
      </w:pPr>
      <w:r>
        <w:rPr/>
        <w:t xml:space="preserve">После чего отобразится подраздел </w:t>
      </w:r>
      <w:r>
        <w:rPr>
          <w:b/>
          <w:bCs/>
        </w:rPr>
        <w:t>«Пользователи»</w:t>
      </w:r>
      <w:r>
        <w:rPr/>
        <w:t xml:space="preserve"> с учетом изменений, внесенных в профиль пользователя.</w:t>
      </w:r>
    </w:p>
    <w:p>
      <w:pPr>
        <w:pStyle w:val="3"/>
        <w:rPr/>
      </w:pPr>
      <w:bookmarkStart w:id="106" w:name="__RefNumPara__39525_2932565611"/>
      <w:bookmarkStart w:id="107" w:name="_Toc184909323"/>
      <w:bookmarkStart w:id="108" w:name="_Ref184905918"/>
      <w:bookmarkEnd w:id="106"/>
      <w:r>
        <w:rPr/>
        <w:t>Расширение прав доступа</w:t>
      </w:r>
      <w:bookmarkEnd w:id="107"/>
      <w:bookmarkEnd w:id="108"/>
    </w:p>
    <w:p>
      <w:pPr>
        <w:pStyle w:val="Style14"/>
        <w:rPr/>
      </w:pPr>
      <w:r>
        <w:rPr/>
        <w:t>Администратор имеет возможность редактировать права доступа к компонентам Подсистемы отдельного пользователя вне зависимости от его системной роли, таким образом расширяя или ограничивая его права. При этом, установленные права доступа в профиле конкретного пользователя будут действовать только для этого пользователя и не влияют на других пользователей Подсистемы и на общие настройки системных ролей.</w:t>
      </w:r>
    </w:p>
    <w:p>
      <w:pPr>
        <w:pStyle w:val="Style14"/>
        <w:rPr>
          <w:color w:val="FF0000"/>
        </w:rPr>
      </w:pPr>
      <w:r>
        <w:rPr/>
        <w:t xml:space="preserve">Для редактирования прав доступа необходимо в профиле пользователя нажать </w:t>
      </w:r>
      <w:r>
        <w:rPr>
          <w:b/>
          <w:bCs/>
        </w:rPr>
        <w:t>«Редактировать»</w:t>
      </w:r>
      <w:r>
        <w:rPr/>
        <w:t xml:space="preserve"> в блоке </w:t>
      </w:r>
      <w:r>
        <w:rPr>
          <w:b/>
          <w:bCs/>
        </w:rPr>
        <w:t>«Расширение прав доступа»</w:t>
      </w:r>
      <w:r>
        <w:rPr/>
        <w:t xml:space="preserve"> и установить маркер </w:t>
      </w:r>
      <w:r>
        <w:rPr>
          <w:b/>
          <w:bCs/>
        </w:rPr>
        <w:t>«Доступно»</w:t>
      </w:r>
      <w:r>
        <w:rPr/>
        <w:t xml:space="preserve"> или </w:t>
      </w:r>
      <w:r>
        <w:rPr>
          <w:b/>
          <w:bCs/>
        </w:rPr>
        <w:t>«Запрещено»</w:t>
      </w:r>
      <w:r>
        <w:rPr/>
        <w:t xml:space="preserve"> напротив отдельных прав доступа к компонентам (</w:t>
      </w:r>
      <w:r>
        <w:rPr/>
        <w:fldChar w:fldCharType="begin"/>
      </w:r>
      <w:r>
        <w:rPr/>
        <w:instrText xml:space="preserve"> REF __RefNumPara__62785_1346437980 \n \h </w:instrText>
      </w:r>
      <w:r>
        <w:rPr/>
        <w:fldChar w:fldCharType="separate"/>
      </w:r>
      <w:r>
        <w:rPr/>
        <w:t>Рисунок 3.27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861185"/>
            <wp:effectExtent l="0" t="0" r="0" b="0"/>
            <wp:docPr id="95" name="Изображение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Изображение103" descr="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09" w:name="__RefNumPara__62785_1346437980"/>
      <w:bookmarkEnd w:id="109"/>
      <w:r>
        <w:rPr/>
        <w:t>. Редактирование прав доступа к компонентам Подсистемы в профиле пользователя</w:t>
      </w:r>
    </w:p>
    <w:p>
      <w:pPr>
        <w:pStyle w:val="3"/>
        <w:rPr/>
      </w:pPr>
      <w:bookmarkStart w:id="110" w:name="_Toc184909324"/>
      <w:r>
        <w:rPr/>
        <w:t>Блокировка пользователя</w:t>
      </w:r>
      <w:bookmarkEnd w:id="110"/>
    </w:p>
    <w:p>
      <w:pPr>
        <w:pStyle w:val="Style14"/>
        <w:rPr>
          <w:color w:val="FF0000"/>
        </w:rPr>
      </w:pPr>
      <w:r>
        <w:rPr/>
        <w:t xml:space="preserve">Удаление пользователя из Подсистемы невозможно. Вместе с тем, пользователю с системной ролью </w:t>
      </w:r>
      <w:r>
        <w:rPr>
          <w:b/>
          <w:bCs/>
        </w:rPr>
        <w:t>«Администратор»</w:t>
      </w:r>
      <w:r>
        <w:rPr/>
        <w:t xml:space="preserve"> доступна функция настройки ограничения доступа для отдельных пользователей.</w:t>
      </w:r>
    </w:p>
    <w:p>
      <w:pPr>
        <w:pStyle w:val="Style14"/>
        <w:rPr/>
      </w:pPr>
      <w:r>
        <w:rPr/>
        <w:t xml:space="preserve">Пользователю, в отношении которого требуется ограничить доступ в Подсистему, может быть заблокирован. Для этого в блоке </w:t>
      </w:r>
      <w:r>
        <w:rPr>
          <w:b/>
          <w:bCs/>
        </w:rPr>
        <w:t>«Общая информация»</w:t>
      </w:r>
      <w:r>
        <w:rPr/>
        <w:t xml:space="preserve"> профиля пользователя нужно перейти в режим редактирования, и установить маркер </w:t>
      </w:r>
      <w:r>
        <w:rPr>
          <w:b/>
          <w:bCs/>
        </w:rPr>
        <w:t xml:space="preserve">«Заблокирован» </w:t>
      </w:r>
      <w:r>
        <w:rPr/>
        <w:t>(</w:t>
      </w:r>
      <w:r>
        <w:rPr/>
        <w:fldChar w:fldCharType="begin"/>
      </w:r>
      <w:r>
        <w:rPr/>
        <w:instrText xml:space="preserve"> REF __RefNumPara__63951_1346437980 \n \h </w:instrText>
      </w:r>
      <w:r>
        <w:rPr/>
        <w:fldChar w:fldCharType="separate"/>
      </w:r>
      <w:r>
        <w:rPr/>
        <w:t>Рисунок 3.28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5106035" cy="2295525"/>
            <wp:effectExtent l="0" t="0" r="0" b="0"/>
            <wp:docPr id="96" name="Изображение10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Изображение104" descr="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11" w:name="__RefNumPara__63951_1346437980"/>
      <w:bookmarkEnd w:id="111"/>
      <w:r>
        <w:rPr/>
        <w:t xml:space="preserve">. Блокировка пользователя </w:t>
      </w:r>
    </w:p>
    <w:p>
      <w:pPr>
        <w:pStyle w:val="Style14"/>
        <w:rPr/>
      </w:pPr>
      <w:r>
        <w:rPr/>
        <w:t>В списке пользователей Подсистемы будет отражена информация о блокировке такого пользователя (</w:t>
      </w:r>
      <w:r>
        <w:rPr/>
        <w:fldChar w:fldCharType="begin"/>
      </w:r>
      <w:r>
        <w:rPr/>
        <w:instrText xml:space="preserve"> REF __RefNumPara__63949_1346437980 \n \h </w:instrText>
      </w:r>
      <w:r>
        <w:rPr/>
        <w:fldChar w:fldCharType="separate"/>
      </w:r>
      <w:r>
        <w:rPr/>
        <w:t>Рисунок 3.29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510665"/>
            <wp:effectExtent l="0" t="0" r="0" b="0"/>
            <wp:docPr id="97" name="Изображение10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Изображение105" descr="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12" w:name="__RefNumPara__63949_1346437980"/>
      <w:bookmarkEnd w:id="112"/>
      <w:r>
        <w:rPr/>
        <w:t>. Список пользователей. Информация о блокировке пользователя</w:t>
      </w:r>
    </w:p>
    <w:p>
      <w:pPr>
        <w:pStyle w:val="Style14"/>
        <w:rPr/>
      </w:pPr>
      <w:r>
        <w:rPr/>
        <w:t>При входе в Подсистему такому пользователю будет отказано в авторизации (</w:t>
      </w:r>
      <w:r>
        <w:rPr/>
        <w:fldChar w:fldCharType="begin"/>
      </w:r>
      <w:r>
        <w:rPr/>
        <w:instrText xml:space="preserve"> REF __RefNumPara__63947_1346437980 \n \h </w:instrText>
      </w:r>
      <w:r>
        <w:rPr/>
        <w:fldChar w:fldCharType="separate"/>
      </w:r>
      <w:r>
        <w:rPr/>
        <w:t>Рисунок 3.30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3148965" cy="3799840"/>
            <wp:effectExtent l="0" t="0" r="0" b="0"/>
            <wp:docPr id="98" name="Изображение10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Изображение106" descr="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 l="30275" t="34156" r="20574" b="5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13" w:name="__RefNumPara__63947_1346437980"/>
      <w:bookmarkEnd w:id="113"/>
      <w:r>
        <w:rPr/>
        <w:t>. Отказ в авторизации заблокированному пользователю</w:t>
      </w:r>
    </w:p>
    <w:p>
      <w:pPr>
        <w:pStyle w:val="Style14"/>
        <w:rPr/>
      </w:pPr>
      <w:r>
        <w:rPr/>
        <w:t xml:space="preserve">Также блокировка пользователя может быть осуществлена через установку срока действия учетной записи. Для изменения окончания срока действия учетной записи нужно отредактировать значение поля </w:t>
      </w:r>
      <w:r>
        <w:rPr>
          <w:b/>
          <w:bCs/>
        </w:rPr>
        <w:t>«Окончание действия учетной записи пользователя»</w:t>
      </w:r>
      <w:r>
        <w:rPr/>
        <w:t xml:space="preserve"> в блоке </w:t>
      </w:r>
      <w:r>
        <w:rPr>
          <w:b/>
          <w:bCs/>
        </w:rPr>
        <w:t>«Срок действия учетной записи</w:t>
      </w:r>
      <w:r>
        <w:rPr/>
        <w:t>» профиля пользователя (</w:t>
      </w:r>
      <w:r>
        <w:rPr/>
        <w:fldChar w:fldCharType="begin"/>
      </w:r>
      <w:r>
        <w:rPr/>
        <w:instrText xml:space="preserve"> REF __RefNumPara__64555_1346437980 \n \h </w:instrText>
      </w:r>
      <w:r>
        <w:rPr/>
        <w:fldChar w:fldCharType="separate"/>
      </w:r>
      <w:r>
        <w:rPr/>
        <w:t>Рисунок 3.31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907415"/>
            <wp:effectExtent l="0" t="0" r="0" b="0"/>
            <wp:docPr id="99" name="Изображение10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Изображение107" descr="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14" w:name="__RefNumPara__64555_1346437980"/>
      <w:bookmarkEnd w:id="114"/>
      <w:r>
        <w:rPr/>
        <w:t>. Изменение срока действия учетной записи пользователя</w:t>
      </w:r>
    </w:p>
    <w:p>
      <w:pPr>
        <w:pStyle w:val="Style14"/>
        <w:rPr/>
      </w:pPr>
      <w:r>
        <w:rPr/>
        <w:t>Таким образом при наступлении определенной даты и времени доступ пользователя в Подсистему также будет заблокирован.</w:t>
      </w:r>
    </w:p>
    <w:p>
      <w:pPr>
        <w:pStyle w:val="Style14"/>
        <w:rPr/>
      </w:pPr>
      <w:r>
        <w:rPr/>
        <w:t xml:space="preserve">При этом в списке пользователей информация о его блокировке не отражается, вместе с тем в графе </w:t>
      </w:r>
      <w:r>
        <w:rPr>
          <w:b/>
          <w:bCs/>
        </w:rPr>
        <w:t>«Окончание действия»</w:t>
      </w:r>
      <w:r>
        <w:rPr/>
        <w:t xml:space="preserve"> у этого пользователя будет стоять дата окончания срока действия его учетной записи (</w:t>
      </w:r>
      <w:r>
        <w:rPr/>
        <w:fldChar w:fldCharType="begin"/>
      </w:r>
      <w:r>
        <w:rPr/>
        <w:instrText xml:space="preserve"> REF __RefNumPara__65165_1346437980 \n \h </w:instrText>
      </w:r>
      <w:r>
        <w:rPr/>
        <w:fldChar w:fldCharType="separate"/>
      </w:r>
      <w:r>
        <w:rPr/>
        <w:t>Рисунок 3.32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981835"/>
            <wp:effectExtent l="0" t="0" r="0" b="0"/>
            <wp:docPr id="100" name="Изображение10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Изображение108" descr="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15" w:name="__RefNumPara__65165_1346437980"/>
      <w:bookmarkEnd w:id="115"/>
      <w:r>
        <w:rPr/>
        <w:t>. Список пользователей. Информация об окончании срока действия учетной записи пользователя.</w:t>
      </w:r>
    </w:p>
    <w:p>
      <w:pPr>
        <w:pStyle w:val="Style14"/>
        <w:rPr/>
      </w:pPr>
      <w:r>
        <w:rPr/>
        <w:t>При входе в Подсистему такому пользователю будет отказано в авторизации (</w:t>
      </w:r>
      <w:r>
        <w:rPr/>
        <w:fldChar w:fldCharType="begin"/>
      </w:r>
      <w:r>
        <w:rPr/>
        <w:instrText xml:space="preserve"> REF __RefNumPara__65168_1346437980 \n \h </w:instrText>
      </w:r>
      <w:r>
        <w:rPr/>
        <w:fldChar w:fldCharType="separate"/>
      </w:r>
      <w:r>
        <w:rPr/>
        <w:t>Рисунок 3.33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4141470" cy="3802380"/>
            <wp:effectExtent l="0" t="0" r="0" b="0"/>
            <wp:docPr id="101" name="Изображение10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Изображение109" descr="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 l="23181" t="34102" r="6750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16" w:name="__RefNumPara__65168_1346437980"/>
      <w:bookmarkEnd w:id="116"/>
      <w:r>
        <w:rPr/>
        <w:t>. Отказ в авторизации пользователю в связи с окончанием срока действия его учетной записи</w:t>
      </w:r>
    </w:p>
    <w:p>
      <w:pPr>
        <w:pStyle w:val="21"/>
        <w:rPr/>
      </w:pPr>
      <w:bookmarkStart w:id="117" w:name="_Toc184909325"/>
      <w:r>
        <w:rPr/>
        <w:t>Системные роли</w:t>
      </w:r>
      <w:bookmarkEnd w:id="117"/>
    </w:p>
    <w:p>
      <w:pPr>
        <w:pStyle w:val="Style14"/>
        <w:rPr/>
      </w:pPr>
      <w:r>
        <w:rPr/>
        <w:t>Администратору доступна возможность создания новой системной роли и редактирование прав доступа к компонентам Подсистемы существующих системных ролей.</w:t>
      </w:r>
    </w:p>
    <w:p>
      <w:pPr>
        <w:pStyle w:val="Style14"/>
        <w:rPr/>
      </w:pPr>
      <w:r>
        <w:rPr/>
        <w:t>В Подсистеме по умолчанию предусмотрены следующие системные роли: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«Администратор»</w:t>
      </w:r>
      <w:r>
        <w:rPr/>
        <w:t xml:space="preserve"> - сотрудник организации, которому предоставлены права на настройку Подсистемы для работы в организации, ведения справочников нормативно-справочной информации, ведения списка пользователей (их системных ролей, сертификатов подписей, принадлежность к подразделениям) и регулирования прочих параметров доступа сотрудников организации в Подсистему.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«Сотрудник ОИК»</w:t>
      </w:r>
      <w:r>
        <w:rPr/>
        <w:t xml:space="preserve"> - сотрудник организации, которому предоставлены права на ведение номенклатур, дел и документов (создание, редактирование, закрытие). Сотруднику ОИК доступно создание и редактирование сдаточных описей, а также их отправка на согласование.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 xml:space="preserve">«Составитель описи» - </w:t>
      </w:r>
      <w:r>
        <w:rPr/>
        <w:t>сотрудник организации, которому предоставлены права на составление сдаточных и сводных описей дел, а также доступна функция отправки описей на согласование.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«Архивист»</w:t>
      </w:r>
      <w:r>
        <w:rPr/>
        <w:t xml:space="preserve"> - сотрудник организации, которому предоставлены права на согласование сдаточных описей, отправку актов уничтожения на согласование. Также архивисту открыт доступ на создание и редактирование номенклатур дел, дел, документов, сдаточных и сводных описей дел, но недоступна их отправка на согласование.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«Руководитель ОИК»</w:t>
      </w:r>
      <w:r>
        <w:rPr/>
        <w:t xml:space="preserve"> - сотрудник организации, которому предоставлены права на утверждение сдаточных описей дел/документов (руководитель структурного подразделения ОИК).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«Руководитель архива ОИК»</w:t>
      </w:r>
      <w:r>
        <w:rPr/>
        <w:t xml:space="preserve"> - сотрудник организации, которому предоставлены права на утверждение сводных описей дел/документов, актов уничтожения </w:t>
      </w:r>
      <w:bookmarkStart w:id="118" w:name="_Hlk184290189"/>
      <w:r>
        <w:rPr/>
        <w:t xml:space="preserve">(дополнительно должен быть добавлен в справочник участников согласований как «Ответственный за архив» , подробнее см. в разделе </w:t>
      </w:r>
      <w:r>
        <w:rPr/>
        <w:fldChar w:fldCharType="begin"/>
      </w:r>
      <w:r>
        <w:rPr/>
        <w:instrText xml:space="preserve"> REF __RefNumPara__39180_4109250701 \n \h </w:instrText>
      </w:r>
      <w:r>
        <w:rPr/>
        <w:fldChar w:fldCharType="separate"/>
      </w:r>
      <w:r>
        <w:rPr/>
        <w:t>2.4</w:t>
      </w:r>
      <w:r>
        <w:rPr/>
        <w:fldChar w:fldCharType="end"/>
      </w:r>
      <w:r>
        <w:rPr/>
        <w:t xml:space="preserve"> </w:t>
      </w:r>
      <w:r>
        <w:rPr/>
        <w:fldChar w:fldCharType="begin"/>
      </w:r>
      <w:r>
        <w:rPr/>
        <w:instrText xml:space="preserve"> REF _Ref184905861 \h </w:instrText>
      </w:r>
      <w:r>
        <w:rPr/>
        <w:fldChar w:fldCharType="separate"/>
      </w:r>
      <w:r>
        <w:rPr/>
        <w:t>Справочник «Участники согласований»</w:t>
      </w:r>
      <w:r>
        <w:rPr/>
        <w:fldChar w:fldCharType="end"/>
      </w:r>
      <w:r>
        <w:rPr/>
        <w:fldChar w:fldCharType="begin"/>
      </w:r>
      <w:r>
        <w:rPr/>
        <w:instrText xml:space="preserve"> REF __RefNumPara__39180_4109250701 \h </w:instrText>
      </w:r>
      <w:r>
        <w:rPr/>
        <w:fldChar w:fldCharType="separate"/>
      </w:r>
      <w:r>
        <w:rPr/>
      </w:r>
      <w:r>
        <w:rPr/>
        <w:fldChar w:fldCharType="end"/>
      </w:r>
      <w:r>
        <w:rPr/>
        <w:t>)</w:t>
      </w:r>
      <w:bookmarkEnd w:id="118"/>
      <w:r>
        <w:rPr/>
        <w:t>.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«Эксперт»</w:t>
      </w:r>
      <w:r>
        <w:rPr/>
        <w:t xml:space="preserve"> - сотрудник организации, который может быть добавлен в состав ЭК ОИК для вынесения решения в составе ЭК ОИК при согласовании сводных описей и актов уничтожения (дополнительно должен быть добавлен в справочник участников согласований </w:t>
      </w:r>
      <w:bookmarkStart w:id="119" w:name="_Hlk184290227"/>
      <w:r>
        <w:rPr/>
        <w:t>как «Согласующий» или «Председатель комиссии»</w:t>
      </w:r>
      <w:bookmarkEnd w:id="119"/>
      <w:r>
        <w:rPr/>
        <w:t xml:space="preserve">, подробнее см. в разделе </w:t>
      </w:r>
      <w:r>
        <w:rPr/>
        <w:fldChar w:fldCharType="begin"/>
      </w:r>
      <w:r>
        <w:rPr/>
        <w:instrText xml:space="preserve"> REF __RefNumPara__39180_4109250701 \n \h </w:instrText>
      </w:r>
      <w:r>
        <w:rPr/>
        <w:fldChar w:fldCharType="separate"/>
      </w:r>
      <w:r>
        <w:rPr/>
        <w:t>2.4</w:t>
      </w:r>
      <w:r>
        <w:rPr/>
        <w:fldChar w:fldCharType="end"/>
      </w:r>
      <w:r>
        <w:rPr/>
        <w:t xml:space="preserve"> </w:t>
      </w:r>
      <w:r>
        <w:rPr/>
        <w:fldChar w:fldCharType="begin"/>
      </w:r>
      <w:r>
        <w:rPr/>
        <w:instrText xml:space="preserve"> REF _Ref184905869 \h </w:instrText>
      </w:r>
      <w:r>
        <w:rPr/>
        <w:fldChar w:fldCharType="separate"/>
      </w:r>
      <w:r>
        <w:rPr/>
        <w:t>Справочник «Участники согласований»</w:t>
      </w:r>
      <w:r>
        <w:rPr/>
        <w:fldChar w:fldCharType="end"/>
      </w:r>
      <w:r>
        <w:rPr/>
        <w:fldChar w:fldCharType="begin"/>
      </w:r>
      <w:r>
        <w:rPr/>
        <w:instrText xml:space="preserve"> REF __RefNumPara__39180_4109250701 \h </w:instrText>
      </w:r>
      <w:r>
        <w:rPr/>
        <w:fldChar w:fldCharType="separate"/>
      </w:r>
      <w:r>
        <w:rPr/>
      </w:r>
      <w:r>
        <w:rPr/>
        <w:fldChar w:fldCharType="end"/>
      </w:r>
      <w:r>
        <w:rPr/>
        <w:t>).</w:t>
      </w:r>
    </w:p>
    <w:p>
      <w:pPr>
        <w:pStyle w:val="Style14"/>
        <w:rPr/>
      </w:pPr>
      <w:r>
        <w:rPr/>
        <w:t>Подробное описание прав доступа к функциям и компонентам Подсистемы приведены разделе «Приложение» курса, а также в «Приложении А» документа «Руководство пользователя Подсистемы», доступном на официальном сайте ГИС «Платформа «ЦХЭД» в разделе «Нормативная документация» (https://platform-eadsc.voskhod.ru/docs).</w:t>
      </w:r>
    </w:p>
    <w:p>
      <w:pPr>
        <w:pStyle w:val="3"/>
        <w:rPr/>
      </w:pPr>
      <w:bookmarkStart w:id="120" w:name="_Toc184909326"/>
      <w:r>
        <w:rPr/>
        <w:t>Список системных ролей</w:t>
      </w:r>
      <w:bookmarkEnd w:id="120"/>
    </w:p>
    <w:p>
      <w:pPr>
        <w:pStyle w:val="Style14"/>
        <w:rPr>
          <w:color w:val="FF0000"/>
        </w:rPr>
      </w:pPr>
      <w:r>
        <w:rPr/>
        <w:t xml:space="preserve">Для перехода к списку системный ролей необходимо нажать кнопку </w:t>
      </w:r>
      <w:r>
        <w:rPr>
          <w:b/>
          <w:bCs/>
        </w:rPr>
        <w:t>«Системные роли»</w:t>
      </w:r>
      <w:r>
        <w:rPr/>
        <w:t xml:space="preserve"> раздела </w:t>
      </w:r>
      <w:r>
        <w:rPr>
          <w:b/>
          <w:bCs/>
        </w:rPr>
        <w:t>«Администрирование»</w:t>
      </w:r>
      <w:r>
        <w:rPr/>
        <w:t xml:space="preserve"> Главного меню Подсистемы (</w:t>
      </w:r>
      <w:r>
        <w:rPr/>
        <w:fldChar w:fldCharType="begin"/>
      </w:r>
      <w:r>
        <w:rPr/>
        <w:instrText xml:space="preserve"> REF __RefNumPara__67674_1346437980 \n \h </w:instrText>
      </w:r>
      <w:r>
        <w:rPr/>
        <w:fldChar w:fldCharType="separate"/>
      </w:r>
      <w:r>
        <w:rPr/>
        <w:t>Рисунок 3.34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2486025"/>
            <wp:effectExtent l="0" t="0" r="0" b="0"/>
            <wp:docPr id="102" name="Изображение1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Изображение110" descr="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21" w:name="__RefNumPara__67674_1346437980"/>
      <w:bookmarkEnd w:id="121"/>
      <w:r>
        <w:rPr/>
        <w:t>. Экранная форма подраздела «Системные роли»</w:t>
      </w:r>
    </w:p>
    <w:p>
      <w:pPr>
        <w:pStyle w:val="Style14"/>
        <w:rPr/>
      </w:pPr>
      <w:r>
        <w:rPr>
          <w:color w:val="000000"/>
          <w:szCs w:val="28"/>
          <w:lang w:eastAsia="ru-RU"/>
        </w:rPr>
        <w:t xml:space="preserve">Список системных ролей в Подсистеме отображается в виде таблицы </w:t>
      </w:r>
      <w:r>
        <w:rPr>
          <w:b/>
          <w:bCs/>
          <w:color w:val="000000"/>
          <w:szCs w:val="28"/>
          <w:lang w:eastAsia="ru-RU"/>
        </w:rPr>
        <w:t>(2)</w:t>
      </w:r>
      <w:r>
        <w:rPr>
          <w:color w:val="000000"/>
          <w:szCs w:val="28"/>
          <w:lang w:eastAsia="ru-RU"/>
        </w:rPr>
        <w:t>, заголовки столбцов которой содержат следующие наименования параметров: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«№»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«Наименование»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«Начало действия»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«Окончание действия»</w:t>
      </w:r>
      <w:r>
        <w:rPr/>
        <w:t>;</w:t>
      </w:r>
    </w:p>
    <w:p>
      <w:pPr>
        <w:pStyle w:val="Style14"/>
        <w:rPr/>
      </w:pPr>
      <w:r>
        <w:rPr>
          <w:szCs w:val="28"/>
          <w:lang w:eastAsia="ru-RU"/>
        </w:rPr>
        <w:t xml:space="preserve">В верхней части экранной формы расположена поисковая строка </w:t>
      </w:r>
      <w:r>
        <w:rPr>
          <w:b/>
          <w:bCs/>
          <w:szCs w:val="28"/>
          <w:lang w:eastAsia="ru-RU"/>
        </w:rPr>
        <w:t>(1)</w:t>
      </w:r>
      <w:r>
        <w:rPr>
          <w:szCs w:val="28"/>
          <w:lang w:eastAsia="ru-RU"/>
        </w:rPr>
        <w:t xml:space="preserve">. Функция быстрого поиска осуществляется по параметру </w:t>
      </w:r>
      <w:r>
        <w:rPr>
          <w:b/>
          <w:bCs/>
          <w:szCs w:val="28"/>
          <w:lang w:eastAsia="ru-RU"/>
        </w:rPr>
        <w:t>«Наименование системной роли»</w:t>
      </w:r>
      <w:r>
        <w:rPr>
          <w:szCs w:val="28"/>
          <w:lang w:eastAsia="ru-RU"/>
        </w:rPr>
        <w:t>.</w:t>
      </w:r>
    </w:p>
    <w:p>
      <w:pPr>
        <w:pStyle w:val="Style14"/>
        <w:rPr/>
      </w:pPr>
      <w:r>
        <w:rPr>
          <w:szCs w:val="28"/>
          <w:lang w:eastAsia="ru-RU"/>
        </w:rPr>
        <w:t xml:space="preserve">Также есть функция поиска с помощью расширенного фильтра по параметру </w:t>
      </w:r>
      <w:r>
        <w:rPr>
          <w:b/>
          <w:bCs/>
          <w:szCs w:val="28"/>
          <w:lang w:eastAsia="ru-RU"/>
        </w:rPr>
        <w:t>«Начало действия</w:t>
      </w:r>
      <w:r>
        <w:rPr>
          <w:szCs w:val="28"/>
          <w:lang w:eastAsia="ru-RU"/>
        </w:rPr>
        <w:t xml:space="preserve">» и </w:t>
      </w:r>
      <w:r>
        <w:rPr>
          <w:b/>
          <w:bCs/>
          <w:szCs w:val="28"/>
          <w:lang w:eastAsia="ru-RU"/>
        </w:rPr>
        <w:t>«Окончание действия»</w:t>
      </w:r>
      <w:r>
        <w:rPr>
          <w:szCs w:val="28"/>
          <w:lang w:eastAsia="ru-RU"/>
        </w:rPr>
        <w:t xml:space="preserve">. Расширенный фильтр раскрывается при помощи кнопки </w:t>
      </w:r>
      <w:r>
        <w:rPr/>
        <w:drawing>
          <wp:inline distT="0" distB="0" distL="0" distR="0">
            <wp:extent cx="304800" cy="304800"/>
            <wp:effectExtent l="0" t="0" r="0" b="0"/>
            <wp:docPr id="103" name="Изображение88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Изображение88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  <w:lang w:eastAsia="ru-RU"/>
        </w:rPr>
        <w:t>, расположенной справа от поисковой строки (</w:t>
      </w:r>
      <w:r>
        <w:rPr>
          <w:szCs w:val="28"/>
          <w:lang w:eastAsia="ru-RU"/>
        </w:rPr>
        <w:fldChar w:fldCharType="begin"/>
      </w:r>
      <w:r>
        <w:rPr>
          <w:szCs w:val="28"/>
          <w:lang w:eastAsia="ru-RU"/>
        </w:rPr>
        <w:instrText xml:space="preserve"> REF __RefNumPara__88215_1346437980 \n \h </w:instrText>
      </w:r>
      <w:r>
        <w:rPr>
          <w:szCs w:val="28"/>
          <w:lang w:eastAsia="ru-RU"/>
        </w:rPr>
        <w:fldChar w:fldCharType="separate"/>
      </w:r>
      <w:r>
        <w:rPr>
          <w:szCs w:val="28"/>
          <w:lang w:eastAsia="ru-RU"/>
        </w:rPr>
        <w:t>Рисунок 3.35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003935"/>
            <wp:effectExtent l="0" t="0" r="0" b="0"/>
            <wp:docPr id="104" name="Изображение1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Изображение111" descr="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22" w:name="__RefNumPara__88215_1346437980"/>
      <w:bookmarkEnd w:id="122"/>
      <w:r>
        <w:rPr/>
        <w:t>. Параметры функции расширенного поиска подраздела «Системные роли»</w:t>
      </w:r>
    </w:p>
    <w:p>
      <w:pPr>
        <w:pStyle w:val="Style46"/>
        <w:numPr>
          <w:ilvl w:val="0"/>
          <w:numId w:val="0"/>
        </w:numPr>
        <w:ind w:hanging="0" w:left="0"/>
        <w:rPr/>
      </w:pPr>
      <w:r>
        <w:rPr/>
      </w:r>
    </w:p>
    <w:p>
      <w:pPr>
        <w:pStyle w:val="3"/>
        <w:rPr/>
      </w:pPr>
      <w:bookmarkStart w:id="123" w:name="_Toc184909327"/>
      <w:r>
        <w:rPr/>
        <w:t>Редактирование системной роли</w:t>
      </w:r>
      <w:bookmarkEnd w:id="123"/>
    </w:p>
    <w:p>
      <w:pPr>
        <w:pStyle w:val="Style14"/>
        <w:rPr/>
      </w:pPr>
      <w:r>
        <w:rPr/>
        <w:t xml:space="preserve">Для редактирования существующей системной роли необходимо выбрать необходимую роль в списке, открыть ее карточку и войти в режим редактирования путем нажатия на кнопку редактирования </w:t>
      </w:r>
      <w:r>
        <w:rPr/>
        <w:drawing>
          <wp:inline distT="0" distB="0" distL="0" distR="0">
            <wp:extent cx="389890" cy="307975"/>
            <wp:effectExtent l="0" t="0" r="0" b="0"/>
            <wp:docPr id="105" name="Изображение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Изображение31" descr="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(</w:t>
      </w:r>
      <w:r>
        <w:rPr/>
        <w:fldChar w:fldCharType="begin"/>
      </w:r>
      <w:r>
        <w:rPr/>
        <w:instrText xml:space="preserve"> REF __RefNumPara__68961_1346437980 \n \h </w:instrText>
      </w:r>
      <w:r>
        <w:rPr/>
        <w:fldChar w:fldCharType="separate"/>
      </w:r>
      <w:r>
        <w:rPr/>
        <w:t>Рисунок 3.36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5993130" cy="2856230"/>
            <wp:effectExtent l="0" t="0" r="0" b="0"/>
            <wp:docPr id="106" name="Изображение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Изображение33" descr="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24" w:name="__RefNumPara__68961_1346437980"/>
      <w:bookmarkEnd w:id="124"/>
      <w:r>
        <w:rPr/>
        <w:t>. Переход в режим редактирования прав доступа системной роли</w:t>
      </w:r>
    </w:p>
    <w:p>
      <w:pPr>
        <w:pStyle w:val="Style14"/>
        <w:rPr/>
      </w:pPr>
      <w:r>
        <w:rPr/>
        <w:t xml:space="preserve">Откроется блок </w:t>
      </w:r>
      <w:r>
        <w:rPr>
          <w:b/>
          <w:bCs/>
        </w:rPr>
        <w:t xml:space="preserve">«Расширение прав доступа» </w:t>
      </w:r>
      <w:r>
        <w:rPr/>
        <w:t>в режиме редактирования.</w:t>
      </w:r>
    </w:p>
    <w:p>
      <w:pPr>
        <w:pStyle w:val="Style14"/>
        <w:rPr>
          <w:color w:val="FF0000"/>
        </w:rPr>
      </w:pPr>
      <w:r>
        <w:rPr/>
        <w:t xml:space="preserve">Для редактирования прав доступа установить маркер </w:t>
      </w:r>
      <w:r>
        <w:rPr>
          <w:b/>
          <w:bCs/>
        </w:rPr>
        <w:t>«Доступно»</w:t>
      </w:r>
      <w:r>
        <w:rPr/>
        <w:t xml:space="preserve"> или </w:t>
      </w:r>
      <w:r>
        <w:rPr>
          <w:b/>
          <w:bCs/>
        </w:rPr>
        <w:t>«Запрещено»</w:t>
      </w:r>
      <w:r>
        <w:rPr/>
        <w:t xml:space="preserve"> напротив отдельных прав доступа к компонентам (</w:t>
      </w:r>
      <w:r>
        <w:rPr/>
        <w:fldChar w:fldCharType="begin"/>
      </w:r>
      <w:r>
        <w:rPr/>
        <w:instrText xml:space="preserve"> REF __RefNumPara__62785_1346437980 \n \h </w:instrText>
      </w:r>
      <w:r>
        <w:rPr/>
        <w:fldChar w:fldCharType="separate"/>
      </w:r>
      <w:r>
        <w:rPr/>
        <w:t>Рисунок 3.27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2259965"/>
            <wp:effectExtent l="0" t="0" r="0" b="0"/>
            <wp:docPr id="107" name="Изображение1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Изображение112" descr="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r>
        <w:rPr/>
        <w:t>. Редактирование расширения прав доступа системной роли</w:t>
      </w:r>
    </w:p>
    <w:p>
      <w:pPr>
        <w:pStyle w:val="Style14"/>
        <w:rPr/>
      </w:pPr>
      <w:r>
        <w:rPr/>
        <w:t>После внесения изменений закрыть карточку, изменения сохранятся автоматически.</w:t>
      </w:r>
    </w:p>
    <w:p>
      <w:pPr>
        <w:pStyle w:val="Style14"/>
        <w:rPr/>
      </w:pPr>
      <w:r>
        <w:rPr/>
        <w:t>Изменение прав доступа системной роли будет применено ко всем пользователям, кому назначена данная системная роль.</w:t>
      </w:r>
    </w:p>
    <w:p>
      <w:pPr>
        <w:pStyle w:val="3"/>
        <w:rPr/>
      </w:pPr>
      <w:bookmarkStart w:id="125" w:name="_Toc184909328"/>
      <w:r>
        <w:rPr/>
        <w:t>Создание системной роли</w:t>
      </w:r>
      <w:bookmarkEnd w:id="125"/>
    </w:p>
    <w:p>
      <w:pPr>
        <w:pStyle w:val="Style14"/>
        <w:rPr/>
      </w:pPr>
      <w:r>
        <w:rPr/>
        <w:t xml:space="preserve">Для добавления системной роли, необходимо нажать кнопку </w:t>
      </w:r>
      <w:r>
        <w:rPr>
          <w:b/>
          <w:bCs/>
        </w:rPr>
        <w:t>«Добавить системную роль»</w:t>
      </w:r>
      <w:r>
        <w:rPr/>
        <w:t>. Кнопка расположена в правом верхнем углу экранной формы списка системных ролей (</w:t>
      </w:r>
      <w:r>
        <w:rPr/>
        <w:fldChar w:fldCharType="begin"/>
      </w:r>
      <w:r>
        <w:rPr/>
        <w:instrText xml:space="preserve"> REF __RefNumPara__38845_2932565611 \n \h </w:instrText>
      </w:r>
      <w:r>
        <w:rPr/>
        <w:fldChar w:fldCharType="separate"/>
      </w:r>
      <w:r>
        <w:rPr/>
        <w:t>Рисунок 3.38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2044700"/>
            <wp:effectExtent l="0" t="0" r="0" b="0"/>
            <wp:docPr id="108" name="Изображение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Изображение34" descr="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26" w:name="__RefNumPara__38845_2932565611"/>
      <w:bookmarkEnd w:id="126"/>
      <w:r>
        <w:rPr/>
        <w:t>. Добавление системной роли</w:t>
      </w:r>
    </w:p>
    <w:p>
      <w:pPr>
        <w:pStyle w:val="Style14"/>
        <w:ind w:hanging="0"/>
        <w:jc w:val="center"/>
        <w:rPr/>
      </w:pPr>
      <w:r>
        <w:rPr/>
        <w:t xml:space="preserve">В открывшемся окне </w:t>
      </w:r>
      <w:r>
        <w:rPr>
          <w:b/>
          <w:bCs/>
        </w:rPr>
        <w:t xml:space="preserve">«Общая информация» </w:t>
      </w:r>
      <w:r>
        <w:rPr/>
        <w:t>требуется внести:</w:t>
      </w:r>
    </w:p>
    <w:p>
      <w:pPr>
        <w:pStyle w:val="Style15"/>
        <w:numPr>
          <w:ilvl w:val="0"/>
          <w:numId w:val="2"/>
        </w:numPr>
        <w:rPr/>
      </w:pPr>
      <w:r>
        <w:rPr/>
        <w:t>Наименование роли;</w:t>
      </w:r>
    </w:p>
    <w:p>
      <w:pPr>
        <w:pStyle w:val="Style15"/>
        <w:numPr>
          <w:ilvl w:val="0"/>
          <w:numId w:val="2"/>
        </w:numPr>
        <w:rPr/>
      </w:pPr>
      <w:r>
        <w:rPr/>
        <w:t>Приоритет прав доступа (выбор осуществляется из выпадающего списка);</w:t>
      </w:r>
    </w:p>
    <w:p>
      <w:pPr>
        <w:pStyle w:val="Style15"/>
        <w:numPr>
          <w:ilvl w:val="0"/>
          <w:numId w:val="2"/>
        </w:numPr>
        <w:rPr/>
      </w:pPr>
      <w:r>
        <w:rPr/>
        <w:t>Описание;</w:t>
      </w:r>
    </w:p>
    <w:p>
      <w:pPr>
        <w:pStyle w:val="Style15"/>
        <w:numPr>
          <w:ilvl w:val="0"/>
          <w:numId w:val="2"/>
        </w:numPr>
        <w:rPr/>
      </w:pPr>
      <w:r>
        <w:rPr/>
        <w:t>Дата начала действия системной роли;</w:t>
      </w:r>
    </w:p>
    <w:p>
      <w:pPr>
        <w:pStyle w:val="Style15"/>
        <w:numPr>
          <w:ilvl w:val="0"/>
          <w:numId w:val="2"/>
        </w:numPr>
        <w:rPr/>
      </w:pPr>
      <w:r>
        <w:rPr/>
        <w:t>Дата окончания действия системной роли.</w:t>
      </w:r>
    </w:p>
    <w:p>
      <w:pPr>
        <w:pStyle w:val="Style14"/>
        <w:rPr/>
      </w:pPr>
      <w:r>
        <w:rPr/>
        <w:t>После заполнения обязательных полей (отмечены «*»), требуется сохранить изменения, нажав кнопку, расположенную в нижней левой области экранной формы (</w:t>
      </w:r>
      <w:r>
        <w:rPr/>
        <w:fldChar w:fldCharType="begin"/>
      </w:r>
      <w:r>
        <w:rPr/>
        <w:instrText xml:space="preserve"> REF __RefNumPara__70288_1346437980 \n \h </w:instrText>
      </w:r>
      <w:r>
        <w:rPr/>
        <w:fldChar w:fldCharType="separate"/>
      </w:r>
      <w:r>
        <w:rPr/>
        <w:t>Рисунок 3.39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3170555"/>
            <wp:effectExtent l="0" t="0" r="0" b="0"/>
            <wp:docPr id="109" name="Изображение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Изображение35" descr="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27" w:name="__RefNumPara__70288_1346437980"/>
      <w:bookmarkEnd w:id="127"/>
      <w:r>
        <w:rPr/>
        <w:t>. Заполнение блока «Общая информация» карточки системной роли</w:t>
      </w:r>
    </w:p>
    <w:p>
      <w:pPr>
        <w:pStyle w:val="Style14"/>
        <w:rPr/>
      </w:pPr>
      <w:r>
        <w:rPr/>
        <w:t>Подтвердить действие во всплывающем окне (</w:t>
      </w:r>
      <w:r>
        <w:rPr/>
        <w:fldChar w:fldCharType="begin"/>
      </w:r>
      <w:r>
        <w:rPr/>
        <w:instrText xml:space="preserve"> REF __RefNumPara__70290_1346437980 \n \h </w:instrText>
      </w:r>
      <w:r>
        <w:rPr/>
        <w:fldChar w:fldCharType="separate"/>
      </w:r>
      <w:r>
        <w:rPr/>
        <w:t>Рисунок 3.40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4438015" cy="1932940"/>
            <wp:effectExtent l="0" t="0" r="0" b="0"/>
            <wp:docPr id="110" name="Изображение1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Изображение114" descr="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28" w:name="__RefNumPara__70290_1346437980"/>
      <w:bookmarkEnd w:id="128"/>
      <w:r>
        <w:rPr/>
        <w:t>. Всплывающее окно для подтверждения внесения изменений</w:t>
      </w:r>
    </w:p>
    <w:p>
      <w:pPr>
        <w:pStyle w:val="Style14"/>
        <w:rPr/>
      </w:pPr>
      <w:r>
        <w:rPr/>
        <w:t xml:space="preserve">После заполнения общей информации требуется установить доступ к определённым компонентам Подсистемы. Для вновь создаваемой системной роли по умолчанию доступ ко всем компонентам Подсистемы запрещен. </w:t>
      </w:r>
    </w:p>
    <w:p>
      <w:pPr>
        <w:pStyle w:val="Style14"/>
        <w:rPr/>
      </w:pPr>
      <w:r>
        <w:rPr/>
        <w:t xml:space="preserve">Для установки прав доступа необходимо в профиле пользователя нажать графическую кнопку редактирования </w:t>
      </w:r>
      <w:r>
        <w:rPr/>
        <w:drawing>
          <wp:inline distT="0" distB="0" distL="0" distR="0">
            <wp:extent cx="389890" cy="307975"/>
            <wp:effectExtent l="0" t="0" r="0" b="0"/>
            <wp:docPr id="111" name="Изображение27 Copy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Изображение27 Copy 1" descr="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в блоке </w:t>
      </w:r>
      <w:r>
        <w:rPr>
          <w:b/>
          <w:bCs/>
        </w:rPr>
        <w:t>«Расширение прав доступа»</w:t>
      </w:r>
      <w:r>
        <w:rPr/>
        <w:t xml:space="preserve"> и установить маркер </w:t>
      </w:r>
      <w:r>
        <w:rPr>
          <w:b/>
          <w:bCs/>
        </w:rPr>
        <w:t>«Доступно»</w:t>
      </w:r>
      <w:r>
        <w:rPr/>
        <w:t xml:space="preserve"> или </w:t>
      </w:r>
      <w:r>
        <w:rPr>
          <w:b/>
          <w:bCs/>
        </w:rPr>
        <w:t>«Недоступно»</w:t>
      </w:r>
      <w:r>
        <w:rPr/>
        <w:t xml:space="preserve"> напротив отдельных прав доступа к компонентам (Рисунок 3.41).</w:t>
      </w:r>
    </w:p>
    <w:p>
      <w:pPr>
        <w:pStyle w:val="Style20"/>
        <w:rPr/>
      </w:pPr>
      <w:r>
        <w:rPr/>
        <w:drawing>
          <wp:inline distT="0" distB="0" distL="0" distR="0">
            <wp:extent cx="6210300" cy="3446145"/>
            <wp:effectExtent l="0" t="0" r="0" b="0"/>
            <wp:docPr id="112" name="Изображение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Изображение36" descr="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r>
        <w:rPr/>
        <w:t>. Редактирование прав доступа системной роли</w:t>
      </w:r>
    </w:p>
    <w:p>
      <w:pPr>
        <w:pStyle w:val="Style14"/>
        <w:rPr/>
      </w:pPr>
      <w:r>
        <w:rPr/>
        <w:t xml:space="preserve">Подробно процесс редактирования прав доступа к отдельным компонентам Подсистемы описан в разделе </w:t>
      </w:r>
      <w:r>
        <w:rPr/>
        <w:fldChar w:fldCharType="begin"/>
      </w:r>
      <w:r>
        <w:rPr/>
        <w:instrText xml:space="preserve"> REF __RefNumPara__39525_2932565611 \n \h </w:instrText>
      </w:r>
      <w:r>
        <w:rPr/>
        <w:fldChar w:fldCharType="separate"/>
      </w:r>
      <w:r>
        <w:rPr/>
        <w:t>3.1.9</w:t>
      </w:r>
      <w:r>
        <w:rPr/>
        <w:fldChar w:fldCharType="end"/>
      </w:r>
      <w:r>
        <w:rPr/>
        <w:t xml:space="preserve"> </w:t>
      </w:r>
      <w:r>
        <w:rPr/>
        <w:fldChar w:fldCharType="begin"/>
      </w:r>
      <w:r>
        <w:rPr/>
        <w:instrText xml:space="preserve"> REF _Ref184905918 \h </w:instrText>
      </w:r>
      <w:r>
        <w:rPr/>
        <w:fldChar w:fldCharType="separate"/>
      </w:r>
      <w:r>
        <w:rPr/>
        <w:t>Расширение прав доступа</w:t>
      </w:r>
      <w:r>
        <w:rPr/>
        <w:fldChar w:fldCharType="end"/>
      </w:r>
      <w:r>
        <w:rPr/>
        <w:fldChar w:fldCharType="begin"/>
      </w:r>
      <w:r>
        <w:rPr/>
        <w:instrText xml:space="preserve"> REF __RefNumPara__39525_2932565611 \h </w:instrText>
      </w:r>
      <w:r>
        <w:rPr/>
        <w:fldChar w:fldCharType="separate"/>
      </w:r>
      <w:r>
        <w:rPr/>
      </w:r>
      <w:r>
        <w:rPr/>
        <w:fldChar w:fldCharType="end"/>
      </w:r>
      <w:r>
        <w:rPr/>
        <w:t>.</w:t>
      </w:r>
    </w:p>
    <w:p>
      <w:pPr>
        <w:pStyle w:val="Style14"/>
        <w:rPr/>
      </w:pPr>
      <w:r>
        <w:rPr/>
        <w:t>После внесения изменений, закрыть форму карточки новой системной роли. Новая системная роль появилась в таблице списка системных ролей (</w:t>
      </w:r>
      <w:r>
        <w:rPr/>
        <w:fldChar w:fldCharType="begin"/>
      </w:r>
      <w:r>
        <w:rPr/>
        <w:instrText xml:space="preserve"> REF __RefNumPara__87842_1346437980 \n \h </w:instrText>
      </w:r>
      <w:r>
        <w:rPr/>
        <w:fldChar w:fldCharType="separate"/>
      </w:r>
      <w:r>
        <w:rPr/>
        <w:t>Рисунок 3.42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2983230"/>
            <wp:effectExtent l="0" t="0" r="0" b="0"/>
            <wp:docPr id="113" name="Изображение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Изображение22" descr="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29" w:name="__RefNumPara__87842_1346437980"/>
      <w:bookmarkEnd w:id="129"/>
      <w:r>
        <w:rPr/>
        <w:t>. Новая системная роль в списке системных ролей Подсистемы</w:t>
      </w:r>
    </w:p>
    <w:p>
      <w:pPr>
        <w:pStyle w:val="21"/>
        <w:rPr/>
      </w:pPr>
      <w:bookmarkStart w:id="130" w:name="_Toc184909329"/>
      <w:r>
        <w:rPr/>
        <w:t>Журнал событий</w:t>
      </w:r>
      <w:bookmarkEnd w:id="130"/>
    </w:p>
    <w:p>
      <w:pPr>
        <w:pStyle w:val="Style14"/>
        <w:rPr/>
      </w:pPr>
      <w:r>
        <w:rPr/>
        <w:t>Журнал событий содержит информацию о том, какие события происходили в Подсистеме в определенный момент времени или какие действия выполнял тот или иной пользователь Подсистемы.</w:t>
      </w:r>
    </w:p>
    <w:p>
      <w:pPr>
        <w:pStyle w:val="Style14"/>
        <w:rPr/>
      </w:pPr>
      <w:r>
        <w:rPr/>
        <w:t xml:space="preserve">Для перехода к журналу событий необходимо войти в подраздел </w:t>
      </w:r>
      <w:r>
        <w:rPr>
          <w:b/>
          <w:bCs/>
        </w:rPr>
        <w:t>«Журнал событий»</w:t>
      </w:r>
      <w:r>
        <w:rPr/>
        <w:t xml:space="preserve"> раздела </w:t>
      </w:r>
      <w:r>
        <w:rPr>
          <w:b/>
          <w:bCs/>
        </w:rPr>
        <w:t xml:space="preserve">«Администрирование» </w:t>
      </w:r>
      <w:r>
        <w:rPr/>
        <w:t>Главного меню (</w:t>
      </w:r>
      <w:r>
        <w:rPr/>
        <w:fldChar w:fldCharType="begin"/>
      </w:r>
      <w:r>
        <w:rPr/>
        <w:instrText xml:space="preserve"> REF __RefNumPara__40205_2932565611 \n \h </w:instrText>
      </w:r>
      <w:r>
        <w:rPr/>
        <w:fldChar w:fldCharType="separate"/>
      </w:r>
      <w:r>
        <w:rPr/>
        <w:t>Рисунок 3.43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3076575"/>
            <wp:effectExtent l="0" t="0" r="0" b="0"/>
            <wp:docPr id="114" name="Изображение1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Изображение116" descr="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31" w:name="__RefNumPara__40205_2932565611"/>
      <w:bookmarkEnd w:id="131"/>
      <w:r>
        <w:rPr/>
        <w:t>. Журнал событий</w:t>
      </w:r>
    </w:p>
    <w:p>
      <w:pPr>
        <w:pStyle w:val="Style14"/>
        <w:rPr/>
      </w:pPr>
      <w:r>
        <w:rPr>
          <w:color w:val="000000"/>
          <w:szCs w:val="28"/>
          <w:lang w:eastAsia="ru-RU"/>
        </w:rPr>
        <w:t xml:space="preserve">Список событий в Подсистеме отображается в виде таблицы </w:t>
      </w:r>
      <w:r>
        <w:rPr>
          <w:b/>
          <w:bCs/>
          <w:color w:val="000000"/>
          <w:szCs w:val="28"/>
          <w:lang w:eastAsia="ru-RU"/>
        </w:rPr>
        <w:t>(2)</w:t>
      </w:r>
      <w:r>
        <w:rPr>
          <w:color w:val="000000"/>
          <w:szCs w:val="28"/>
          <w:lang w:eastAsia="ru-RU"/>
        </w:rPr>
        <w:t>, заголовки столбцов которой содержат следующие наименования параметров: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«№»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</w:t>
      </w:r>
      <w:r>
        <w:rPr>
          <w:b/>
          <w:bCs/>
          <w:lang w:val="en-US"/>
        </w:rPr>
        <w:t xml:space="preserve">ID </w:t>
      </w:r>
      <w:r>
        <w:rPr>
          <w:b/>
          <w:bCs/>
        </w:rPr>
        <w:t>объекта»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«Дата и время»</w:t>
      </w:r>
      <w:r>
        <w:rPr/>
        <w:t>;</w:t>
      </w:r>
    </w:p>
    <w:p>
      <w:pPr>
        <w:pStyle w:val="Style15"/>
        <w:numPr>
          <w:ilvl w:val="0"/>
          <w:numId w:val="2"/>
        </w:numPr>
        <w:rPr>
          <w:lang w:val="en-US"/>
        </w:rPr>
      </w:pPr>
      <w:r>
        <w:rPr>
          <w:b/>
          <w:bCs/>
          <w:lang w:val="en-US"/>
        </w:rPr>
        <w:t>«Т</w:t>
      </w:r>
      <w:r>
        <w:rPr>
          <w:b/>
          <w:bCs/>
        </w:rPr>
        <w:t>ип»</w:t>
      </w:r>
      <w:r>
        <w:rPr>
          <w:lang w:val="en-US"/>
        </w:rPr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«Описание»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«Пользователь»</w:t>
      </w:r>
      <w:r>
        <w:rPr/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</w:rPr>
        <w:t>«Компонента»</w:t>
      </w:r>
      <w:r>
        <w:rPr/>
        <w:t>.</w:t>
      </w:r>
    </w:p>
    <w:p>
      <w:pPr>
        <w:pStyle w:val="Style14"/>
        <w:rPr/>
      </w:pPr>
      <w:r>
        <w:rPr/>
        <w:t>Если в списке событий выбрать определенное событие и нажать на него, то откроется карточка события, в которой будет отражаться информация о конкретном событии (</w:t>
      </w:r>
      <w:r>
        <w:rPr/>
        <w:fldChar w:fldCharType="begin"/>
      </w:r>
      <w:r>
        <w:rPr/>
        <w:instrText xml:space="preserve"> REF __RefNumPara__72036_1346437980 \n \h </w:instrText>
      </w:r>
      <w:r>
        <w:rPr/>
        <w:fldChar w:fldCharType="separate"/>
      </w:r>
      <w:r>
        <w:rPr/>
        <w:t>Рисунок 3.44</w:t>
      </w:r>
      <w:r>
        <w:rPr/>
        <w:fldChar w:fldCharType="end"/>
      </w:r>
      <w:r>
        <w:rPr/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275715"/>
            <wp:effectExtent l="0" t="0" r="0" b="0"/>
            <wp:docPr id="115" name="Изображение1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Изображение118" descr="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32" w:name="__RefNumPara__72036_1346437980"/>
      <w:bookmarkEnd w:id="132"/>
      <w:r>
        <w:rPr/>
        <w:t>. Карточка события в журнале событий</w:t>
      </w:r>
    </w:p>
    <w:p>
      <w:pPr>
        <w:pStyle w:val="Style14"/>
        <w:rPr/>
      </w:pPr>
      <w:r>
        <w:rPr>
          <w:szCs w:val="28"/>
          <w:lang w:eastAsia="ru-RU"/>
        </w:rPr>
        <w:t xml:space="preserve">В верхней части экранной формы расположена поисковая строка </w:t>
      </w:r>
      <w:r>
        <w:rPr>
          <w:b/>
          <w:bCs/>
          <w:szCs w:val="28"/>
          <w:lang w:eastAsia="ru-RU"/>
        </w:rPr>
        <w:t>(1)</w:t>
      </w:r>
      <w:r>
        <w:rPr>
          <w:szCs w:val="28"/>
          <w:lang w:eastAsia="ru-RU"/>
        </w:rPr>
        <w:t xml:space="preserve">. Функция быстрого поиска осуществляется по параметру </w:t>
      </w:r>
      <w:r>
        <w:rPr>
          <w:b/>
          <w:bCs/>
          <w:szCs w:val="28"/>
          <w:lang w:eastAsia="ru-RU"/>
        </w:rPr>
        <w:t>«Описание события»</w:t>
      </w:r>
      <w:r>
        <w:rPr>
          <w:szCs w:val="28"/>
          <w:lang w:eastAsia="ru-RU"/>
        </w:rPr>
        <w:t xml:space="preserve"> Для поиска требуется ввести полностью фразу/слово или часть фразы/слова.</w:t>
      </w:r>
    </w:p>
    <w:p>
      <w:pPr>
        <w:pStyle w:val="Style14"/>
        <w:rPr/>
      </w:pPr>
      <w:r>
        <w:rPr>
          <w:szCs w:val="28"/>
          <w:lang w:eastAsia="ru-RU"/>
        </w:rPr>
        <w:t>Также есть функция поиска с помощью расширенного фильтра по параметрам: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  <w:szCs w:val="28"/>
          <w:lang w:eastAsia="ru-RU"/>
        </w:rPr>
        <w:t>«Дата и время»</w:t>
      </w:r>
      <w:r>
        <w:rPr>
          <w:szCs w:val="28"/>
          <w:lang w:eastAsia="ru-RU"/>
        </w:rPr>
        <w:t xml:space="preserve"> (с точностью до секунды);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  <w:szCs w:val="28"/>
          <w:lang w:val="en-US" w:eastAsia="ru-RU"/>
        </w:rPr>
        <w:t>«</w:t>
      </w:r>
      <w:r>
        <w:rPr>
          <w:b/>
          <w:bCs/>
          <w:szCs w:val="28"/>
          <w:lang w:eastAsia="ru-RU"/>
        </w:rPr>
        <w:t>Тип события»</w:t>
      </w:r>
      <w:r>
        <w:rPr>
          <w:szCs w:val="28"/>
          <w:lang w:eastAsia="ru-RU"/>
        </w:rPr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  <w:szCs w:val="28"/>
          <w:lang w:eastAsia="ru-RU"/>
        </w:rPr>
        <w:t>«Пользователь»</w:t>
      </w:r>
      <w:r>
        <w:rPr>
          <w:szCs w:val="28"/>
          <w:lang w:eastAsia="ru-RU"/>
        </w:rPr>
        <w:t>;</w:t>
      </w:r>
    </w:p>
    <w:p>
      <w:pPr>
        <w:pStyle w:val="Style15"/>
        <w:numPr>
          <w:ilvl w:val="0"/>
          <w:numId w:val="2"/>
        </w:numPr>
        <w:rPr/>
      </w:pPr>
      <w:r>
        <w:rPr>
          <w:szCs w:val="28"/>
          <w:lang w:eastAsia="ru-RU"/>
        </w:rPr>
        <w:t xml:space="preserve"> </w:t>
      </w:r>
      <w:r>
        <w:rPr>
          <w:b/>
          <w:bCs/>
          <w:szCs w:val="28"/>
          <w:lang w:eastAsia="ru-RU"/>
        </w:rPr>
        <w:t>«Результат»</w:t>
      </w:r>
      <w:r>
        <w:rPr>
          <w:szCs w:val="28"/>
          <w:lang w:eastAsia="ru-RU"/>
        </w:rPr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  <w:szCs w:val="28"/>
          <w:lang w:eastAsia="ru-RU"/>
        </w:rPr>
        <w:t>«Компонента»</w:t>
      </w:r>
      <w:r>
        <w:rPr>
          <w:szCs w:val="28"/>
          <w:lang w:eastAsia="ru-RU"/>
        </w:rPr>
        <w:t>;</w:t>
      </w:r>
    </w:p>
    <w:p>
      <w:pPr>
        <w:pStyle w:val="Style15"/>
        <w:numPr>
          <w:ilvl w:val="0"/>
          <w:numId w:val="2"/>
        </w:numPr>
        <w:rPr/>
      </w:pPr>
      <w:r>
        <w:rPr>
          <w:b/>
          <w:bCs/>
          <w:szCs w:val="28"/>
          <w:lang w:eastAsia="ru-RU"/>
        </w:rPr>
        <w:t>«</w:t>
      </w:r>
      <w:r>
        <w:rPr>
          <w:b/>
          <w:bCs/>
          <w:szCs w:val="28"/>
          <w:lang w:val="en-US" w:eastAsia="ru-RU"/>
        </w:rPr>
        <w:t>ID</w:t>
      </w:r>
      <w:r>
        <w:rPr>
          <w:b/>
          <w:bCs/>
          <w:szCs w:val="28"/>
          <w:lang w:eastAsia="ru-RU"/>
        </w:rPr>
        <w:t xml:space="preserve"> объекта»</w:t>
      </w:r>
      <w:r>
        <w:rPr>
          <w:szCs w:val="28"/>
          <w:lang w:eastAsia="ru-RU"/>
        </w:rPr>
        <w:t xml:space="preserve">. </w:t>
      </w:r>
    </w:p>
    <w:p>
      <w:pPr>
        <w:pStyle w:val="Style14"/>
        <w:rPr/>
      </w:pPr>
      <w:r>
        <w:rPr>
          <w:szCs w:val="28"/>
          <w:lang w:eastAsia="ru-RU"/>
        </w:rPr>
        <w:t xml:space="preserve">Расширенный фильтр раскрывается при помощи кнопки </w:t>
      </w:r>
      <w:r>
        <w:rPr/>
        <w:drawing>
          <wp:inline distT="0" distB="0" distL="0" distR="0">
            <wp:extent cx="304800" cy="304800"/>
            <wp:effectExtent l="0" t="0" r="0" b="0"/>
            <wp:docPr id="116" name="Изображение88 Копия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Изображение88 Копия 2" descr="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  <w:lang w:eastAsia="ru-RU"/>
        </w:rPr>
        <w:t>, расположенной справа от поисковой строки (</w:t>
      </w:r>
      <w:r>
        <w:rPr>
          <w:szCs w:val="28"/>
          <w:lang w:eastAsia="ru-RU"/>
        </w:rPr>
        <w:fldChar w:fldCharType="begin"/>
      </w:r>
      <w:r>
        <w:rPr>
          <w:szCs w:val="28"/>
          <w:lang w:eastAsia="ru-RU"/>
        </w:rPr>
        <w:instrText xml:space="preserve"> REF __RefNumPara__88217_1346437980 \n \h </w:instrText>
      </w:r>
      <w:r>
        <w:rPr>
          <w:szCs w:val="28"/>
          <w:lang w:eastAsia="ru-RU"/>
        </w:rPr>
        <w:fldChar w:fldCharType="separate"/>
      </w:r>
      <w:r>
        <w:rPr>
          <w:szCs w:val="28"/>
          <w:lang w:eastAsia="ru-RU"/>
        </w:rPr>
        <w:t>Рисунок 3.45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>).</w:t>
      </w:r>
    </w:p>
    <w:p>
      <w:pPr>
        <w:pStyle w:val="Style20"/>
        <w:rPr/>
      </w:pPr>
      <w:r>
        <w:rPr/>
        <w:drawing>
          <wp:inline distT="0" distB="0" distL="0" distR="0">
            <wp:extent cx="6210300" cy="1482090"/>
            <wp:effectExtent l="0" t="0" r="0" b="0"/>
            <wp:docPr id="117" name="Изображение1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Изображение117" descr="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46"/>
        <w:numPr>
          <w:ilvl w:val="2"/>
          <w:numId w:val="8"/>
        </w:numPr>
        <w:ind w:firstLine="680"/>
        <w:rPr/>
      </w:pPr>
      <w:bookmarkStart w:id="133" w:name="__RefHeading___Toc4753_2481601417_Копия_"/>
      <w:bookmarkStart w:id="134" w:name="__RefNumPara__88217_1346437980"/>
      <w:bookmarkEnd w:id="133"/>
      <w:bookmarkEnd w:id="134"/>
      <w:r>
        <w:rPr/>
        <w:t>. Параметры функции поиска в журнале событий с помощью расширенного фильтра</w:t>
      </w:r>
    </w:p>
    <w:p>
      <w:pPr>
        <w:pStyle w:val="11"/>
        <w:rPr/>
      </w:pPr>
      <w:bookmarkStart w:id="135" w:name="_Toc184909330"/>
      <w:r>
        <w:rPr/>
        <w:t>Техническая поддержка Подсистемы</w:t>
      </w:r>
      <w:bookmarkEnd w:id="135"/>
    </w:p>
    <w:p>
      <w:pPr>
        <w:pStyle w:val="Style14"/>
        <w:rPr/>
      </w:pPr>
      <w:r>
        <w:rPr/>
        <w:t xml:space="preserve"> </w:t>
      </w:r>
      <w:r>
        <w:rPr/>
        <w:t>По всем возникающим вопросам можно обратиться в единую круглосуточную линию техподдержки государственного электронного документооборота — по вопросам работы в ГосЭДО, МЭДО, ТОР СЭД и ЦХЭД.</w:t>
      </w:r>
    </w:p>
    <w:p>
      <w:pPr>
        <w:pStyle w:val="Style14"/>
        <w:rPr/>
      </w:pPr>
      <w:r>
        <w:rPr>
          <w:b/>
          <w:bCs/>
        </w:rPr>
        <w:t xml:space="preserve">Телефон: </w:t>
      </w:r>
      <w:r>
        <w:rPr/>
        <w:t>+7 (800) 500-85-92</w:t>
      </w:r>
    </w:p>
    <w:p>
      <w:pPr>
        <w:pStyle w:val="Style14"/>
        <w:rPr>
          <w:b/>
          <w:bCs/>
        </w:rPr>
      </w:pPr>
      <w:r>
        <w:rPr>
          <w:b/>
          <w:bCs/>
        </w:rPr>
        <w:t xml:space="preserve">Электронная почта тех. поддержки ЦХЭД: </w:t>
      </w:r>
      <w:r>
        <w:rPr/>
        <w:t>eadsc_support@voskhod.ru</w:t>
      </w:r>
    </w:p>
    <w:p>
      <w:pPr>
        <w:pStyle w:val="Style23"/>
        <w:ind w:hanging="0" w:left="0"/>
        <w:rPr/>
      </w:pPr>
      <w:bookmarkStart w:id="136" w:name="_Toc184909331"/>
      <w:r>
        <w:rPr/>
        <w:t>Приложение</w:t>
      </w:r>
      <w:bookmarkEnd w:id="136"/>
    </w:p>
    <w:p>
      <w:pPr>
        <w:pStyle w:val="Style14"/>
        <w:rPr/>
      </w:pPr>
      <w:r>
        <w:rPr/>
        <w:t>Ролевую модель действий и доступы к компонентам можно загрузить в электронной версии курса в Центре обучения ГосЭДО.</w:t>
      </w:r>
    </w:p>
    <w:p>
      <w:pPr>
        <w:pStyle w:val="Style14"/>
        <w:rPr/>
      </w:pPr>
      <w:r>
        <w:rPr/>
        <w:t>Также подробное описание прав доступа к функциям и компонентам Подсистемы приведены в «Приложении А» документа «Руководство пользователя Подсистемы», доступном на официальном сайте ГИС «Платформа «ЦХЭД» в разделе «Нормативная документация» (https://platform-eadsc.voskhod.ru/docs).</w:t>
      </w:r>
    </w:p>
    <w:sectPr>
      <w:footerReference w:type="default" r:id="rId119"/>
      <w:footerReference w:type="first" r:id="rId120"/>
      <w:type w:val="nextPage"/>
      <w:pgSz w:w="11906" w:h="16838"/>
      <w:pgMar w:left="1559" w:right="567" w:gutter="0" w:header="0" w:top="1134" w:footer="1134" w:bottom="1739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1"/>
      <w:numFmt w:val="decimal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21"/>
      <w:numFmt w:val="decimal"/>
      <w:lvlText w:val="%1.%2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decimal"/>
      <w:lvlText w:val="%1.%2.%3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4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5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Heading7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Heading9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1049"/>
        </w:tabs>
        <w:ind w:left="1049" w:hanging="34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366"/>
        </w:tabs>
        <w:ind w:left="1366" w:hanging="34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678"/>
        </w:tabs>
        <w:ind w:left="1678" w:hanging="3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871"/>
        </w:tabs>
        <w:ind w:left="1871" w:hanging="737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964"/>
      </w:pPr>
      <w:rPr>
        <w:color w:val="auto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505"/>
        </w:tabs>
        <w:ind w:left="505" w:hanging="284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669"/>
        </w:tabs>
        <w:ind w:left="669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70"/>
        </w:tabs>
        <w:ind w:left="283" w:hanging="283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70"/>
        </w:tabs>
        <w:ind w:left="624" w:hanging="511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1077" w:hanging="737"/>
      </w:pPr>
      <w:rPr>
        <w:color w:val="auto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80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color w:val="auto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7">
    <w:lvl w:ilvl="0">
      <w:start w:val="1"/>
      <w:numFmt w:val="russianLower"/>
      <w:lvlText w:val="%1)"/>
      <w:lvlJc w:val="left"/>
      <w:pPr>
        <w:tabs>
          <w:tab w:val="num" w:pos="1134"/>
        </w:tabs>
        <w:ind w:left="1134" w:hanging="425"/>
      </w:pPr>
      <w:rPr>
        <w:color w:val="auto"/>
      </w:rPr>
    </w:lvl>
    <w:lvl w:ilvl="1">
      <w:start w:val="1"/>
      <w:numFmt w:val="russianLower"/>
      <w:lvlText w:val="%2)"/>
      <w:lvlJc w:val="left"/>
      <w:pPr>
        <w:tabs>
          <w:tab w:val="num" w:pos="1871"/>
        </w:tabs>
        <w:ind w:left="1871" w:hanging="737"/>
      </w:pPr>
      <w:rPr>
        <w:color w:val="auto"/>
      </w:rPr>
    </w:lvl>
    <w:lvl w:ilvl="2">
      <w:start w:val="1"/>
      <w:numFmt w:val="russianLower"/>
      <w:lvlText w:val="%3)"/>
      <w:lvlJc w:val="left"/>
      <w:pPr>
        <w:tabs>
          <w:tab w:val="num" w:pos="2835"/>
        </w:tabs>
        <w:ind w:left="2835" w:hanging="964"/>
      </w:pPr>
      <w:rPr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suff w:val="nothing"/>
      <w:lvlText w:val="Рисунок 1.%1"/>
      <w:lvlJc w:val="center"/>
      <w:pPr>
        <w:tabs>
          <w:tab w:val="num" w:pos="0"/>
        </w:tabs>
        <w:ind w:left="0" w:hanging="0"/>
      </w:pPr>
      <w:rPr>
        <w:rFonts w:ascii="Liberation Serif" w:hAnsi="Liberation Serif" w:cs="Liberation Serif"/>
        <w:color w:val="auto"/>
      </w:rPr>
    </w:lvl>
    <w:lvl w:ilvl="1">
      <w:start w:val="1"/>
      <w:numFmt w:val="decimal"/>
      <w:suff w:val="nothing"/>
      <w:lvlText w:val="Рисунок 2.%2"/>
      <w:lvlJc w:val="center"/>
      <w:pPr>
        <w:tabs>
          <w:tab w:val="num" w:pos="0"/>
        </w:tabs>
        <w:ind w:left="0" w:hanging="0"/>
      </w:pPr>
      <w:rPr>
        <w:rFonts w:ascii="Liberation Serif" w:hAnsi="Liberation Serif" w:cs="Liberation Serif"/>
        <w:color w:val="auto"/>
      </w:rPr>
    </w:lvl>
    <w:lvl w:ilvl="2">
      <w:start w:val="1"/>
      <w:numFmt w:val="decimal"/>
      <w:suff w:val="nothing"/>
      <w:lvlText w:val="Рисунок 3.%3"/>
      <w:lvlJc w:val="center"/>
      <w:pPr>
        <w:tabs>
          <w:tab w:val="num" w:pos="0"/>
        </w:tabs>
        <w:ind w:left="0" w:hanging="0"/>
      </w:pPr>
      <w:rPr>
        <w:rFonts w:ascii="Liberation Serif" w:hAnsi="Liberation Serif" w:cs="Liberation Serif"/>
        <w:color w:val="auto"/>
      </w:rPr>
    </w:lvl>
    <w:lvl w:ilvl="3">
      <w:start w:val="1"/>
      <w:numFmt w:val="decimal"/>
      <w:suff w:val="nothing"/>
      <w:lvlText w:val="Рисунок 4.%4"/>
      <w:lvlJc w:val="center"/>
      <w:pPr>
        <w:tabs>
          <w:tab w:val="num" w:pos="0"/>
        </w:tabs>
        <w:ind w:left="0" w:hanging="0"/>
      </w:pPr>
      <w:rPr>
        <w:color w:val="auto"/>
      </w:rPr>
    </w:lvl>
    <w:lvl w:ilvl="4">
      <w:start w:val="1"/>
      <w:numFmt w:val="decimal"/>
      <w:suff w:val="nothing"/>
      <w:lvlText w:val="Рисунок 5.%5"/>
      <w:lvlJc w:val="center"/>
      <w:pPr>
        <w:tabs>
          <w:tab w:val="num" w:pos="0"/>
        </w:tabs>
        <w:ind w:left="0" w:hanging="0"/>
      </w:pPr>
      <w:rPr>
        <w:color w:val="auto"/>
      </w:rPr>
    </w:lvl>
    <w:lvl w:ilvl="5">
      <w:start w:val="1"/>
      <w:numFmt w:val="decimal"/>
      <w:suff w:val="nothing"/>
      <w:lvlText w:val="Рисунок 6.%6"/>
      <w:lvlJc w:val="center"/>
      <w:pPr>
        <w:tabs>
          <w:tab w:val="num" w:pos="0"/>
        </w:tabs>
        <w:ind w:left="0" w:hanging="0"/>
      </w:pPr>
      <w:rPr>
        <w:color w:val="auto"/>
      </w:rPr>
    </w:lvl>
    <w:lvl w:ilvl="6">
      <w:start w:val="1"/>
      <w:numFmt w:val="decimal"/>
      <w:suff w:val="nothing"/>
      <w:lvlText w:val="Рисунок 7.%7"/>
      <w:lvlJc w:val="center"/>
      <w:pPr>
        <w:tabs>
          <w:tab w:val="num" w:pos="0"/>
        </w:tabs>
        <w:ind w:left="0" w:hanging="0"/>
      </w:pPr>
      <w:rPr>
        <w:color w:val="auto"/>
      </w:rPr>
    </w:lvl>
    <w:lvl w:ilvl="7">
      <w:start w:val="1"/>
      <w:numFmt w:val="decimal"/>
      <w:suff w:val="nothing"/>
      <w:lvlText w:val="Рисунок 8.%8"/>
      <w:lvlJc w:val="center"/>
      <w:pPr>
        <w:tabs>
          <w:tab w:val="num" w:pos="0"/>
        </w:tabs>
        <w:ind w:left="0" w:hanging="0"/>
      </w:pPr>
      <w:rPr>
        <w:color w:val="auto"/>
      </w:rPr>
    </w:lvl>
    <w:lvl w:ilvl="8">
      <w:start w:val="1"/>
      <w:numFmt w:val="decimal"/>
      <w:suff w:val="nothing"/>
      <w:lvlText w:val="Рисунок 9.%9"/>
      <w:lvlJc w:val="center"/>
      <w:pPr>
        <w:tabs>
          <w:tab w:val="num" w:pos="0"/>
        </w:tabs>
        <w:ind w:left="0" w:hanging="0"/>
      </w:pPr>
      <w:rPr>
        <w:color w:val="auto"/>
      </w:rPr>
    </w:lvl>
  </w:abstractNum>
  <w:abstractNum w:abstractNumId="9">
    <w:lvl w:ilvl="0">
      <w:start w:val="1"/>
      <w:numFmt w:val="decimal"/>
      <w:suff w:val="nothing"/>
      <w:lvlText w:val="Таблица %1"/>
      <w:lvlJc w:val="right"/>
      <w:pPr>
        <w:tabs>
          <w:tab w:val="num" w:pos="0"/>
        </w:tabs>
        <w:ind w:left="0" w:hanging="0"/>
      </w:pPr>
      <w:rPr>
        <w:rFonts w:ascii="Liberation Serif" w:hAnsi="Liberation Serif" w:cs="Liberation Serif"/>
        <w:color w:val="auto"/>
      </w:rPr>
    </w:lvl>
    <w:lvl w:ilvl="1">
      <w:start w:val="1"/>
      <w:numFmt w:val="decimal"/>
      <w:lvlText w:val=" 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 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0" w:firstLine="851"/>
      </w:pPr>
      <w:rPr>
        <w:rFonts w:ascii="Symbol" w:hAnsi="Symbol" w:cs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1701"/>
      </w:pPr>
      <w:rPr>
        <w:rFonts w:ascii="Arial" w:hAnsi="Arial" w:cs="Arial" w:hint="default"/>
        <w:i w:val="false"/>
        <w:b w:val="false"/>
      </w:rPr>
    </w:lvl>
    <w:lvl w:ilvl="2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3402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pacing w:val="0"/>
        <w:i w:val="false"/>
        <w:b/>
        <w:kern w:val="0"/>
        <w:vanish w:val="false"/>
      </w:rPr>
    </w:lvl>
    <w:lvl w:ilvl="4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4253"/>
      </w:pPr>
      <w:rPr>
        <w:rFonts w:ascii="Times New Roman" w:hAnsi="Times New Roman" w:cs="Times New Roman" w:hint="default"/>
        <w:sz w:val="28"/>
      </w:rPr>
    </w:lvl>
    <w:lvl w:ilvl="5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5103"/>
      </w:pPr>
      <w:rPr>
        <w:rFonts w:ascii="Times New Roman" w:hAnsi="Times New Roman" w:cs="Times New Roman" w:hint="default"/>
        <w:sz w:val="28"/>
      </w:rPr>
    </w:lvl>
    <w:lvl w:ilvl="6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5954"/>
      </w:pPr>
      <w:rPr>
        <w:rFonts w:ascii="Times New Roman" w:hAnsi="Times New Roman" w:cs="Times New Roman" w:hint="default"/>
      </w:rPr>
    </w:lvl>
    <w:lvl w:ilvl="7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6804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655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Title"/>
    <w:next w:val="BodyText"/>
    <w:uiPriority w:val="9"/>
    <w:qFormat/>
    <w:pPr>
      <w:outlineLvl w:val="0"/>
    </w:pPr>
    <w:rPr>
      <w:b/>
      <w:bCs/>
      <w:sz w:val="36"/>
      <w:szCs w:val="36"/>
    </w:rPr>
  </w:style>
  <w:style w:type="paragraph" w:styleId="Heading2">
    <w:name w:val="Heading 2"/>
    <w:basedOn w:val="Title"/>
    <w:next w:val="BodyText"/>
    <w:uiPriority w:val="9"/>
    <w:semiHidden/>
    <w:unhideWhenUsed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itle"/>
    <w:next w:val="BodyText"/>
    <w:uiPriority w:val="9"/>
    <w:semiHidden/>
    <w:unhideWhenUsed/>
    <w:qFormat/>
    <w:pPr>
      <w:spacing w:before="140" w:after="120"/>
      <w:outlineLvl w:val="2"/>
    </w:pPr>
    <w:rPr>
      <w:b/>
      <w:bCs/>
    </w:rPr>
  </w:style>
  <w:style w:type="paragraph" w:styleId="Heading4">
    <w:name w:val="Heading 4"/>
    <w:basedOn w:val="Title"/>
    <w:next w:val="BodyText"/>
    <w:uiPriority w:val="9"/>
    <w:semiHidden/>
    <w:unhideWhenUsed/>
    <w:qFormat/>
    <w:p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Title"/>
    <w:next w:val="BodyText"/>
    <w:uiPriority w:val="9"/>
    <w:semiHidden/>
    <w:unhideWhenUsed/>
    <w:qFormat/>
    <w:p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Title"/>
    <w:next w:val="BodyText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Title"/>
    <w:next w:val="BodyText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Title"/>
    <w:next w:val="BodyText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Heading9">
    <w:name w:val="Heading 9"/>
    <w:basedOn w:val="Title"/>
    <w:next w:val="BodyText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нумерации"/>
    <w:qFormat/>
    <w:rPr>
      <w:color w:val="auto"/>
    </w:rPr>
  </w:style>
  <w:style w:type="character" w:styleId="Style6" w:customStyle="1">
    <w:name w:val="Маркеры"/>
    <w:qFormat/>
    <w:rPr>
      <w:rFonts w:ascii="OpenSymbol" w:hAnsi="OpenSymbol" w:eastAsia="OpenSymbol" w:cs="OpenSymbol"/>
    </w:rPr>
  </w:style>
  <w:style w:type="character" w:styleId="1" w:customStyle="1">
    <w:name w:val="Без имени1"/>
    <w:qFormat/>
    <w:rPr/>
  </w:style>
  <w:style w:type="character" w:styleId="Hyperlink">
    <w:name w:val="Hyperlink"/>
    <w:uiPriority w:val="99"/>
    <w:rPr>
      <w:color w:val="000080"/>
      <w:u w:val="single"/>
    </w:rPr>
  </w:style>
  <w:style w:type="character" w:styleId="Style7" w:customStyle="1">
    <w:name w:val="Ссылка указателя"/>
    <w:qFormat/>
    <w:rPr/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qFormat/>
    <w:rPr/>
  </w:style>
  <w:style w:type="character" w:styleId="2" w:customStyle="1">
    <w:name w:val="Без имени2"/>
    <w:qFormat/>
    <w:rPr/>
  </w:style>
  <w:style w:type="character" w:styleId="PlainText" w:customStyle="1">
    <w:name w:val="PlainText Знак"/>
    <w:qFormat/>
    <w:rPr>
      <w:sz w:val="24"/>
    </w:rPr>
  </w:style>
  <w:style w:type="character" w:styleId="ItemizedList1" w:customStyle="1">
    <w:name w:val="ItemizedList1 Знак"/>
    <w:qFormat/>
    <w:rPr>
      <w:sz w:val="28"/>
    </w:rPr>
  </w:style>
  <w:style w:type="character" w:styleId="TableText" w:customStyle="1">
    <w:name w:val="TableText Знак"/>
    <w:qFormat/>
    <w:rPr>
      <w:sz w:val="24"/>
    </w:rPr>
  </w:style>
  <w:style w:type="character" w:styleId="Style8" w:customStyle="1">
    <w:name w:val="_Заголовок Знак"/>
    <w:qFormat/>
    <w:rPr>
      <w:b/>
      <w:caps/>
      <w:color w:val="000000"/>
      <w:sz w:val="2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61006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561006"/>
    <w:rPr>
      <w:rFonts w:cs="Mangal"/>
      <w:sz w:val="20"/>
      <w:szCs w:val="18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561006"/>
    <w:rPr>
      <w:rFonts w:cs="Mangal"/>
      <w:b/>
      <w:bCs/>
      <w:sz w:val="20"/>
      <w:szCs w:val="18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4044ee"/>
    <w:rPr>
      <w:rFonts w:ascii="Tahoma" w:hAnsi="Tahoma" w:cs="Mangal"/>
      <w:sz w:val="16"/>
      <w:szCs w:val="14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Title"/>
    <w:qFormat/>
    <w:pPr>
      <w:suppressLineNumbers/>
    </w:pPr>
    <w:rPr>
      <w:b/>
      <w:bCs/>
      <w:sz w:val="32"/>
      <w:szCs w:val="32"/>
    </w:rPr>
  </w:style>
  <w:style w:type="paragraph" w:styleId="11" w:customStyle="1">
    <w:name w:val="ЭУМ Заг1"/>
    <w:next w:val="Style14"/>
    <w:qFormat/>
    <w:pPr>
      <w:keepNext w:val="true"/>
      <w:pageBreakBefore/>
      <w:widowControl/>
      <w:numPr>
        <w:ilvl w:val="0"/>
        <w:numId w:val="1"/>
      </w:numPr>
      <w:suppressAutoHyphens w:val="true"/>
      <w:bidi w:val="0"/>
      <w:spacing w:lineRule="auto" w:line="276" w:before="0" w:after="113"/>
      <w:jc w:val="left"/>
      <w:outlineLvl w:val="0"/>
    </w:pPr>
    <w:rPr>
      <w:rFonts w:ascii="Liberation Serif" w:hAnsi="Liberation Serif" w:eastAsia="NSimSun" w:cs="Arial"/>
      <w:b/>
      <w:color w:val="auto"/>
      <w:kern w:val="2"/>
      <w:sz w:val="40"/>
      <w:szCs w:val="24"/>
      <w:lang w:val="ru-RU" w:eastAsia="zh-CN" w:bidi="hi-IN"/>
    </w:rPr>
  </w:style>
  <w:style w:type="paragraph" w:styleId="1-" w:customStyle="1">
    <w:name w:val="ЭУМ Заг1-ном"/>
    <w:basedOn w:val="11"/>
    <w:next w:val="Style14"/>
    <w:qFormat/>
    <w:pPr>
      <w:numPr>
        <w:ilvl w:val="0"/>
        <w:numId w:val="0"/>
      </w:numPr>
      <w:ind w:firstLine="709"/>
    </w:pPr>
    <w:rPr/>
  </w:style>
  <w:style w:type="paragraph" w:styleId="Style14" w:customStyle="1">
    <w:name w:val="ЭУМ Текст"/>
    <w:qFormat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Liberation Serif" w:hAnsi="Liberation Serif" w:eastAsia="NSimSun" w:cs="Arial"/>
      <w:color w:val="auto"/>
      <w:kern w:val="2"/>
      <w:sz w:val="28"/>
      <w:szCs w:val="24"/>
      <w:lang w:val="ru-RU" w:eastAsia="zh-CN" w:bidi="hi-IN"/>
    </w:rPr>
  </w:style>
  <w:style w:type="paragraph" w:styleId="21" w:customStyle="1">
    <w:name w:val="ЭУМ Заг2"/>
    <w:next w:val="Style14"/>
    <w:qFormat/>
    <w:rsid w:val="00206a4c"/>
    <w:pPr>
      <w:keepNext w:val="true"/>
      <w:widowControl/>
      <w:numPr>
        <w:ilvl w:val="1"/>
        <w:numId w:val="1"/>
      </w:numPr>
      <w:suppressAutoHyphens w:val="true"/>
      <w:bidi w:val="0"/>
      <w:spacing w:lineRule="auto" w:line="276" w:before="240" w:after="113"/>
      <w:jc w:val="left"/>
      <w:outlineLvl w:val="1"/>
    </w:pPr>
    <w:rPr>
      <w:rFonts w:ascii="Liberation Serif" w:hAnsi="Liberation Serif" w:eastAsia="NSimSun" w:cs="Arial"/>
      <w:b/>
      <w:color w:val="auto"/>
      <w:kern w:val="2"/>
      <w:sz w:val="36"/>
      <w:szCs w:val="24"/>
      <w:lang w:val="ru-RU" w:eastAsia="zh-CN" w:bidi="hi-IN"/>
    </w:rPr>
  </w:style>
  <w:style w:type="paragraph" w:styleId="3" w:customStyle="1">
    <w:name w:val="ЭУМ Заг3"/>
    <w:next w:val="Style14"/>
    <w:qFormat/>
    <w:rsid w:val="00206a4c"/>
    <w:pPr>
      <w:keepNext w:val="true"/>
      <w:widowControl/>
      <w:numPr>
        <w:ilvl w:val="2"/>
        <w:numId w:val="1"/>
      </w:numPr>
      <w:suppressAutoHyphens w:val="true"/>
      <w:bidi w:val="0"/>
      <w:spacing w:lineRule="auto" w:line="276" w:before="240" w:after="113"/>
      <w:jc w:val="left"/>
      <w:outlineLvl w:val="2"/>
    </w:pPr>
    <w:rPr>
      <w:rFonts w:ascii="Liberation Serif" w:hAnsi="Liberation Serif" w:eastAsia="NSimSun" w:cs="Arial"/>
      <w:b/>
      <w:color w:val="auto"/>
      <w:kern w:val="2"/>
      <w:sz w:val="32"/>
      <w:szCs w:val="24"/>
      <w:lang w:val="ru-RU" w:eastAsia="zh-CN" w:bidi="hi-IN"/>
    </w:rPr>
  </w:style>
  <w:style w:type="paragraph" w:styleId="4" w:customStyle="1">
    <w:name w:val="ЭУМ Заг4"/>
    <w:next w:val="Style14"/>
    <w:qFormat/>
    <w:pPr>
      <w:keepNext w:val="true"/>
      <w:widowControl/>
      <w:numPr>
        <w:ilvl w:val="3"/>
        <w:numId w:val="1"/>
      </w:numPr>
      <w:suppressAutoHyphens w:val="true"/>
      <w:bidi w:val="0"/>
      <w:spacing w:lineRule="auto" w:line="276" w:before="0" w:after="113"/>
      <w:jc w:val="left"/>
      <w:outlineLvl w:val="3"/>
    </w:pPr>
    <w:rPr>
      <w:rFonts w:ascii="Liberation Serif" w:hAnsi="Liberation Serif" w:eastAsia="NSimSun" w:cs="Arial"/>
      <w:b/>
      <w:color w:val="auto"/>
      <w:kern w:val="2"/>
      <w:sz w:val="32"/>
      <w:szCs w:val="24"/>
      <w:lang w:val="ru-RU" w:eastAsia="zh-CN" w:bidi="hi-IN"/>
    </w:rPr>
  </w:style>
  <w:style w:type="paragraph" w:styleId="5" w:customStyle="1">
    <w:name w:val="ЭУМ Заг5"/>
    <w:next w:val="Style14"/>
    <w:qFormat/>
    <w:pPr>
      <w:keepNext w:val="true"/>
      <w:widowControl/>
      <w:numPr>
        <w:ilvl w:val="4"/>
        <w:numId w:val="1"/>
      </w:numPr>
      <w:suppressAutoHyphens w:val="true"/>
      <w:bidi w:val="0"/>
      <w:spacing w:lineRule="auto" w:line="276" w:before="0" w:after="113"/>
      <w:jc w:val="left"/>
      <w:outlineLvl w:val="4"/>
    </w:pPr>
    <w:rPr>
      <w:rFonts w:ascii="Liberation Serif" w:hAnsi="Liberation Serif" w:eastAsia="NSimSun" w:cs="Arial"/>
      <w:b/>
      <w:color w:val="auto"/>
      <w:kern w:val="2"/>
      <w:sz w:val="32"/>
      <w:szCs w:val="24"/>
      <w:lang w:val="ru-RU" w:eastAsia="zh-CN" w:bidi="hi-IN"/>
    </w:rPr>
  </w:style>
  <w:style w:type="paragraph" w:styleId="Style15" w:customStyle="1">
    <w:name w:val="ЭУМ ТекстМаркСпис"/>
    <w:basedOn w:val="Style14"/>
    <w:qFormat/>
    <w:pPr>
      <w:numPr>
        <w:ilvl w:val="0"/>
        <w:numId w:val="2"/>
      </w:numPr>
    </w:pPr>
    <w:rPr/>
  </w:style>
  <w:style w:type="paragraph" w:styleId="Style16" w:customStyle="1">
    <w:name w:val="ЭУМ ТекстНумСпис"/>
    <w:basedOn w:val="Style14"/>
    <w:qFormat/>
    <w:pPr>
      <w:numPr>
        <w:ilvl w:val="0"/>
        <w:numId w:val="3"/>
      </w:numPr>
    </w:pPr>
    <w:rPr/>
  </w:style>
  <w:style w:type="paragraph" w:styleId="Style17" w:customStyle="1">
    <w:name w:val="ЭУМ ТаблТекст"/>
    <w:basedOn w:val="Style14"/>
    <w:qFormat/>
    <w:pPr>
      <w:spacing w:lineRule="auto" w:line="240"/>
      <w:ind w:hanging="0"/>
      <w:jc w:val="left"/>
    </w:pPr>
    <w:rPr/>
  </w:style>
  <w:style w:type="paragraph" w:styleId="Style18" w:customStyle="1">
    <w:name w:val="ЭУМ ТаблМаркСпис"/>
    <w:basedOn w:val="Style17"/>
    <w:qFormat/>
    <w:pPr>
      <w:numPr>
        <w:ilvl w:val="0"/>
        <w:numId w:val="4"/>
      </w:numPr>
    </w:pPr>
    <w:rPr/>
  </w:style>
  <w:style w:type="paragraph" w:styleId="Style19" w:customStyle="1">
    <w:name w:val="ЭУМ ТаблНумСпис"/>
    <w:basedOn w:val="Style17"/>
    <w:qFormat/>
    <w:pPr>
      <w:numPr>
        <w:ilvl w:val="0"/>
        <w:numId w:val="5"/>
      </w:numPr>
    </w:pPr>
    <w:rPr/>
  </w:style>
  <w:style w:type="paragraph" w:styleId="Style20" w:customStyle="1">
    <w:name w:val="ЭУМ Рисунок"/>
    <w:basedOn w:val="Style14"/>
    <w:next w:val="Style46"/>
    <w:qFormat/>
    <w:pPr>
      <w:keepNext w:val="true"/>
      <w:ind w:hanging="0"/>
      <w:jc w:val="center"/>
    </w:pPr>
    <w:rPr>
      <w:b/>
      <w:sz w:val="24"/>
    </w:rPr>
  </w:style>
  <w:style w:type="paragraph" w:styleId="Style21" w:customStyle="1">
    <w:name w:val="ЭУМ ТаблНазв"/>
    <w:basedOn w:val="Style14"/>
    <w:next w:val="Style17"/>
    <w:autoRedefine/>
    <w:qFormat/>
    <w:rsid w:val="006773f2"/>
    <w:pPr>
      <w:keepNext w:val="true"/>
      <w:numPr>
        <w:ilvl w:val="0"/>
        <w:numId w:val="9"/>
      </w:numPr>
      <w:spacing w:before="170" w:after="0"/>
      <w:ind w:firstLine="709"/>
      <w:jc w:val="right"/>
    </w:pPr>
    <w:rPr>
      <w:b/>
      <w:sz w:val="24"/>
    </w:rPr>
  </w:style>
  <w:style w:type="paragraph" w:styleId="Style22" w:customStyle="1">
    <w:name w:val="ЭУМ ТаблЗаголовок"/>
    <w:basedOn w:val="Style17"/>
    <w:qFormat/>
    <w:pPr>
      <w:spacing w:lineRule="auto" w:line="276"/>
      <w:jc w:val="center"/>
    </w:pPr>
    <w:rPr>
      <w:b/>
    </w:rPr>
  </w:style>
  <w:style w:type="paragraph" w:styleId="Style23" w:customStyle="1">
    <w:name w:val="ЭУМ Приложение"/>
    <w:basedOn w:val="11"/>
    <w:next w:val="Style14"/>
    <w:autoRedefine/>
    <w:qFormat/>
    <w:pPr>
      <w:numPr>
        <w:ilvl w:val="0"/>
        <w:numId w:val="0"/>
      </w:numPr>
      <w:jc w:val="right"/>
    </w:pPr>
    <w:rPr/>
  </w:style>
  <w:style w:type="paragraph" w:styleId="Style24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 w:customStyle="1">
    <w:name w:val="ЭУМ НомерСтр"/>
    <w:basedOn w:val="Style14"/>
    <w:autoRedefine/>
    <w:qFormat/>
    <w:pPr>
      <w:spacing w:lineRule="auto" w:line="240"/>
      <w:ind w:hanging="0"/>
      <w:jc w:val="right"/>
    </w:pPr>
    <w:rPr/>
  </w:style>
  <w:style w:type="paragraph" w:styleId="Style26" w:customStyle="1">
    <w:name w:val="ЭУМ ТаблТекстЦентр"/>
    <w:basedOn w:val="Style17"/>
    <w:qFormat/>
    <w:pPr>
      <w:jc w:val="center"/>
    </w:pPr>
    <w:rPr/>
  </w:style>
  <w:style w:type="paragraph" w:styleId="Style27" w:customStyle="1">
    <w:name w:val="ЭУМ ТаблНомСтроки"/>
    <w:basedOn w:val="Style17"/>
    <w:qFormat/>
    <w:pPr>
      <w:numPr>
        <w:ilvl w:val="0"/>
        <w:numId w:val="6"/>
      </w:numPr>
    </w:pPr>
    <w:rPr/>
  </w:style>
  <w:style w:type="paragraph" w:styleId="Style28" w:customStyle="1">
    <w:name w:val="ЭУМ КомандаСкрипт"/>
    <w:autoRedefine/>
    <w:qFormat/>
    <w:pPr>
      <w:widowControl/>
      <w:suppressAutoHyphens w:val="true"/>
      <w:bidi w:val="0"/>
      <w:spacing w:lineRule="auto" w:line="360" w:before="0" w:after="0"/>
      <w:jc w:val="left"/>
    </w:pPr>
    <w:rPr>
      <w:rFonts w:ascii="Liberation Mono" w:hAnsi="Liberation Mono" w:eastAsia="NSimSun" w:cs="Arial"/>
      <w:color w:val="auto"/>
      <w:kern w:val="2"/>
      <w:sz w:val="28"/>
      <w:szCs w:val="24"/>
      <w:lang w:val="ru-RU" w:eastAsia="zh-CN" w:bidi="hi-IN"/>
    </w:rPr>
  </w:style>
  <w:style w:type="paragraph" w:styleId="2-" w:customStyle="1">
    <w:name w:val="ЭУМ Заг2-ном"/>
    <w:basedOn w:val="21"/>
    <w:next w:val="Style14"/>
    <w:qFormat/>
    <w:pPr>
      <w:numPr>
        <w:ilvl w:val="0"/>
        <w:numId w:val="0"/>
      </w:numPr>
      <w:outlineLvl w:val="9"/>
    </w:pPr>
    <w:rPr/>
  </w:style>
  <w:style w:type="paragraph" w:styleId="3-" w:customStyle="1">
    <w:name w:val="ЭУМ Заг3-ном"/>
    <w:basedOn w:val="3"/>
    <w:next w:val="Style14"/>
    <w:qFormat/>
    <w:pPr>
      <w:numPr>
        <w:ilvl w:val="0"/>
        <w:numId w:val="0"/>
      </w:numPr>
      <w:outlineLvl w:val="9"/>
    </w:pPr>
    <w:rPr/>
  </w:style>
  <w:style w:type="paragraph" w:styleId="4-" w:customStyle="1">
    <w:name w:val="ЭУМ Заг4-ном"/>
    <w:basedOn w:val="4"/>
    <w:next w:val="Style14"/>
    <w:qFormat/>
    <w:pPr>
      <w:numPr>
        <w:ilvl w:val="0"/>
        <w:numId w:val="0"/>
      </w:numPr>
      <w:outlineLvl w:val="9"/>
    </w:pPr>
    <w:rPr/>
  </w:style>
  <w:style w:type="paragraph" w:styleId="5-" w:customStyle="1">
    <w:name w:val="ЭУМ Заг5-ном"/>
    <w:basedOn w:val="5"/>
    <w:next w:val="Style14"/>
    <w:qFormat/>
    <w:pPr>
      <w:numPr>
        <w:ilvl w:val="0"/>
        <w:numId w:val="0"/>
      </w:numPr>
      <w:ind w:firstLine="709"/>
    </w:pPr>
    <w:rPr/>
  </w:style>
  <w:style w:type="paragraph" w:styleId="Style29" w:customStyle="1">
    <w:name w:val="ЭУМ ТитЗаг"/>
    <w:qFormat/>
    <w:pPr>
      <w:widowControl/>
      <w:suppressAutoHyphens w:val="true"/>
      <w:bidi w:val="0"/>
      <w:spacing w:before="0" w:after="0"/>
      <w:jc w:val="center"/>
    </w:pPr>
    <w:rPr>
      <w:rFonts w:ascii="Liberation Serif" w:hAnsi="Liberation Serif" w:eastAsia="NSimSun" w:cs="Arial"/>
      <w:caps/>
      <w:color w:val="auto"/>
      <w:kern w:val="2"/>
      <w:sz w:val="28"/>
      <w:szCs w:val="24"/>
      <w:lang w:val="ru-RU" w:eastAsia="zh-CN" w:bidi="hi-IN"/>
    </w:rPr>
  </w:style>
  <w:style w:type="paragraph" w:styleId="Style30" w:customStyle="1">
    <w:name w:val="ЭУМ ТитКурс"/>
    <w:qFormat/>
    <w:pPr>
      <w:widowControl/>
      <w:suppressAutoHyphens w:val="true"/>
      <w:bidi w:val="0"/>
      <w:spacing w:lineRule="auto" w:line="276" w:before="454" w:after="454"/>
      <w:jc w:val="center"/>
    </w:pPr>
    <w:rPr>
      <w:rFonts w:ascii="Liberation Serif" w:hAnsi="Liberation Serif" w:eastAsia="NSimSun" w:cs="Arial"/>
      <w:b/>
      <w:color w:val="auto"/>
      <w:kern w:val="2"/>
      <w:sz w:val="32"/>
      <w:szCs w:val="24"/>
      <w:lang w:val="ru-RU" w:eastAsia="zh-CN" w:bidi="hi-IN"/>
    </w:rPr>
  </w:style>
  <w:style w:type="paragraph" w:styleId="Style31" w:customStyle="1">
    <w:name w:val="ЭУМ ТитГод"/>
    <w:qFormat/>
    <w:pPr>
      <w:widowControl/>
      <w:suppressAutoHyphens w:val="true"/>
      <w:bidi w:val="0"/>
      <w:spacing w:before="0" w:after="0"/>
      <w:jc w:val="center"/>
    </w:pPr>
    <w:rPr>
      <w:rFonts w:ascii="Liberation Serif" w:hAnsi="Liberation Serif" w:eastAsia="NSimSun" w:cs="Arial"/>
      <w:color w:val="auto"/>
      <w:kern w:val="2"/>
      <w:sz w:val="28"/>
      <w:szCs w:val="24"/>
      <w:lang w:val="ru-RU" w:eastAsia="zh-CN" w:bidi="hi-IN"/>
    </w:rPr>
  </w:style>
  <w:style w:type="paragraph" w:styleId="Style32" w:customStyle="1">
    <w:name w:val="Содержимое таблицы"/>
    <w:basedOn w:val="Normal"/>
    <w:qFormat/>
    <w:pPr>
      <w:suppressLineNumbers/>
    </w:pPr>
    <w:rPr/>
  </w:style>
  <w:style w:type="paragraph" w:styleId="Style33" w:customStyle="1">
    <w:name w:val="ЭУМ ТекстБуквСпис"/>
    <w:basedOn w:val="Style15"/>
    <w:qFormat/>
    <w:pPr>
      <w:numPr>
        <w:ilvl w:val="0"/>
        <w:numId w:val="7"/>
      </w:numPr>
    </w:pPr>
    <w:rPr/>
  </w:style>
  <w:style w:type="paragraph" w:styleId="IndexHeading">
    <w:name w:val="Index Heading"/>
    <w:basedOn w:val="Style12"/>
    <w:pPr/>
    <w:rPr/>
  </w:style>
  <w:style w:type="paragraph" w:styleId="TOCHeading">
    <w:name w:val="TOC Heading"/>
    <w:basedOn w:val="Indexheading1"/>
    <w:uiPriority w:val="39"/>
    <w:qFormat/>
    <w:pPr/>
    <w:rPr>
      <w:rFonts w:ascii="Liberation Serif" w:hAnsi="Liberation Serif"/>
      <w:sz w:val="40"/>
    </w:rPr>
  </w:style>
  <w:style w:type="paragraph" w:styleId="TOC1">
    <w:name w:val="TOC 1"/>
    <w:basedOn w:val="Indexheading1"/>
    <w:uiPriority w:val="39"/>
    <w:rsid w:val="009e213d"/>
    <w:pPr>
      <w:tabs>
        <w:tab w:val="clear" w:pos="709"/>
        <w:tab w:val="left" w:pos="284" w:leader="none"/>
        <w:tab w:val="right" w:pos="9638" w:leader="dot"/>
      </w:tabs>
      <w:spacing w:before="57" w:after="0"/>
    </w:pPr>
    <w:rPr>
      <w:rFonts w:ascii="Liberation Serif" w:hAnsi="Liberation Serif"/>
      <w:b w:val="false"/>
      <w:sz w:val="24"/>
    </w:rPr>
  </w:style>
  <w:style w:type="paragraph" w:styleId="TOC2">
    <w:name w:val="TOC 2"/>
    <w:basedOn w:val="Indexheading1"/>
    <w:uiPriority w:val="39"/>
    <w:rsid w:val="009e213d"/>
    <w:pPr>
      <w:tabs>
        <w:tab w:val="clear" w:pos="709"/>
        <w:tab w:val="left" w:pos="851" w:leader="none"/>
        <w:tab w:val="right" w:pos="9639" w:leader="dot"/>
      </w:tabs>
      <w:spacing w:before="57" w:after="0"/>
      <w:ind w:left="283"/>
      <w:contextualSpacing/>
    </w:pPr>
    <w:rPr>
      <w:rFonts w:ascii="Liberation Serif" w:hAnsi="Liberation Serif"/>
      <w:b w:val="false"/>
      <w:sz w:val="24"/>
    </w:rPr>
  </w:style>
  <w:style w:type="paragraph" w:styleId="TOC3">
    <w:name w:val="TOC 3"/>
    <w:basedOn w:val="Indexheading1"/>
    <w:uiPriority w:val="39"/>
    <w:rsid w:val="009e213d"/>
    <w:pPr>
      <w:tabs>
        <w:tab w:val="clear" w:pos="709"/>
        <w:tab w:val="left" w:pos="1276" w:leader="none"/>
        <w:tab w:val="right" w:pos="9639" w:leader="dot"/>
      </w:tabs>
      <w:spacing w:before="57" w:after="0"/>
      <w:ind w:left="566"/>
      <w:contextualSpacing/>
    </w:pPr>
    <w:rPr>
      <w:rFonts w:ascii="Liberation Serif" w:hAnsi="Liberation Serif"/>
      <w:b w:val="false"/>
      <w:sz w:val="24"/>
    </w:rPr>
  </w:style>
  <w:style w:type="paragraph" w:styleId="TOC4">
    <w:name w:val="TOC 4"/>
    <w:basedOn w:val="Indexheading1"/>
    <w:pPr>
      <w:tabs>
        <w:tab w:val="clear" w:pos="709"/>
        <w:tab w:val="right" w:pos="8789" w:leader="dot"/>
      </w:tabs>
      <w:ind w:left="849"/>
    </w:pPr>
    <w:rPr/>
  </w:style>
  <w:style w:type="paragraph" w:styleId="1-1" w:customStyle="1">
    <w:name w:val="ДЗаг1-разрыв"/>
    <w:qFormat/>
    <w:pPr>
      <w:keepNext w:val="true"/>
      <w:widowControl/>
      <w:suppressAutoHyphens w:val="true"/>
      <w:bidi w:val="0"/>
      <w:spacing w:before="283" w:after="113"/>
      <w:jc w:val="center"/>
    </w:pPr>
    <w:rPr>
      <w:rFonts w:ascii="Times New Roman" w:hAnsi="Times New Roman" w:cs="Times New Roman" w:eastAsia="NSimSun"/>
      <w:b/>
      <w:color w:val="auto"/>
      <w:kern w:val="2"/>
      <w:sz w:val="32"/>
      <w:szCs w:val="24"/>
      <w:lang w:val="ru-RU" w:eastAsia="zh-CN" w:bidi="hi-IN"/>
    </w:rPr>
  </w:style>
  <w:style w:type="paragraph" w:styleId="Style34" w:customStyle="1">
    <w:name w:val="ДПрилож"/>
    <w:qFormat/>
    <w:pPr>
      <w:keepNext w:val="true"/>
      <w:widowControl/>
      <w:suppressAutoHyphens w:val="true"/>
      <w:bidi w:val="0"/>
      <w:spacing w:before="283" w:after="113"/>
      <w:jc w:val="right"/>
    </w:pPr>
    <w:rPr>
      <w:rFonts w:ascii="Times New Roman" w:hAnsi="Times New Roman" w:cs="Times New Roman" w:eastAsia="NSimSun"/>
      <w:b/>
      <w:color w:val="auto"/>
      <w:kern w:val="2"/>
      <w:sz w:val="32"/>
      <w:szCs w:val="24"/>
      <w:lang w:val="ru-RU" w:eastAsia="zh-CN" w:bidi="hi-IN"/>
    </w:rPr>
  </w:style>
  <w:style w:type="paragraph" w:styleId="41" w:customStyle="1">
    <w:name w:val="ДЗаг4"/>
    <w:qFormat/>
    <w:pPr>
      <w:keepNext w:val="true"/>
      <w:widowControl/>
      <w:suppressAutoHyphens w:val="true"/>
      <w:bidi w:val="0"/>
      <w:spacing w:before="170" w:after="170"/>
      <w:ind w:hanging="425" w:left="1106"/>
      <w:jc w:val="left"/>
    </w:pPr>
    <w:rPr>
      <w:rFonts w:ascii="Times New Roman" w:hAnsi="Times New Roman" w:cs="Times New Roman" w:eastAsia="NSimSun"/>
      <w:b/>
      <w:color w:val="auto"/>
      <w:kern w:val="2"/>
      <w:sz w:val="28"/>
      <w:szCs w:val="24"/>
      <w:lang w:val="ru-RU" w:eastAsia="zh-CN" w:bidi="hi-IN"/>
    </w:rPr>
  </w:style>
  <w:style w:type="paragraph" w:styleId="12" w:customStyle="1">
    <w:name w:val="ДАЗаг1"/>
    <w:qFormat/>
    <w:pPr>
      <w:keepNext w:val="true"/>
      <w:widowControl/>
      <w:suppressAutoHyphens w:val="true"/>
      <w:bidi w:val="0"/>
      <w:spacing w:before="283" w:after="113"/>
      <w:jc w:val="center"/>
    </w:pPr>
    <w:rPr>
      <w:rFonts w:ascii="Times New Roman" w:hAnsi="Times New Roman" w:cs="Times New Roman" w:eastAsia="NSimSun"/>
      <w:b/>
      <w:color w:val="auto"/>
      <w:kern w:val="2"/>
      <w:sz w:val="32"/>
      <w:szCs w:val="24"/>
      <w:lang w:val="ru-RU" w:eastAsia="zh-CN" w:bidi="hi-IN"/>
    </w:rPr>
  </w:style>
  <w:style w:type="paragraph" w:styleId="Style35" w:customStyle="1">
    <w:name w:val="ДТаблНомСтроки"/>
    <w:qFormat/>
    <w:pPr>
      <w:widowControl/>
      <w:suppressAutoHyphens w:val="true"/>
      <w:bidi w:val="0"/>
      <w:spacing w:lineRule="auto" w:line="360" w:before="0" w:after="0"/>
      <w:jc w:val="left"/>
    </w:pPr>
    <w:rPr>
      <w:rFonts w:ascii="Times New Roman" w:hAnsi="Times New Roman" w:cs="Times New Roman" w:eastAsia="NSimSun"/>
      <w:color w:val="auto"/>
      <w:kern w:val="2"/>
      <w:sz w:val="24"/>
      <w:szCs w:val="24"/>
      <w:lang w:val="ru-RU" w:eastAsia="zh-CN" w:bidi="hi-IN"/>
    </w:rPr>
  </w:style>
  <w:style w:type="paragraph" w:styleId="31" w:customStyle="1">
    <w:name w:val="ДЗаг3"/>
    <w:qFormat/>
    <w:pPr>
      <w:keepNext w:val="true"/>
      <w:widowControl/>
      <w:suppressAutoHyphens w:val="true"/>
      <w:bidi w:val="0"/>
      <w:spacing w:before="170" w:after="170"/>
      <w:ind w:hanging="425" w:left="1106"/>
      <w:jc w:val="left"/>
    </w:pPr>
    <w:rPr>
      <w:rFonts w:ascii="Times New Roman" w:hAnsi="Times New Roman" w:cs="Times New Roman" w:eastAsia="NSimSun"/>
      <w:b/>
      <w:color w:val="auto"/>
      <w:kern w:val="2"/>
      <w:sz w:val="28"/>
      <w:szCs w:val="24"/>
      <w:lang w:val="ru-RU" w:eastAsia="zh-CN" w:bidi="hi-IN"/>
    </w:rPr>
  </w:style>
  <w:style w:type="paragraph" w:styleId="Style36" w:customStyle="1">
    <w:name w:val="ТаблНомерСтроки"/>
    <w:qFormat/>
    <w:pPr>
      <w:widowControl/>
      <w:suppressAutoHyphens w:val="true"/>
      <w:bidi w:val="0"/>
      <w:spacing w:lineRule="auto" w:line="276" w:before="0" w:after="0"/>
      <w:jc w:val="left"/>
      <w:textAlignment w:val="top"/>
    </w:pPr>
    <w:rPr>
      <w:rFonts w:ascii="Times New Roman" w:hAnsi="Times New Roman" w:cs="Times New Roman" w:eastAsia="NSimSun"/>
      <w:color w:val="auto"/>
      <w:kern w:val="2"/>
      <w:sz w:val="24"/>
      <w:szCs w:val="24"/>
      <w:lang w:val="ru-RU" w:eastAsia="zh-CN" w:bidi="hi-IN"/>
    </w:rPr>
  </w:style>
  <w:style w:type="paragraph" w:styleId="Style37" w:customStyle="1">
    <w:name w:val="ДТаблТекстЦентр"/>
    <w:qFormat/>
    <w:pPr>
      <w:widowControl/>
      <w:suppressAutoHyphens w:val="true"/>
      <w:bidi w:val="0"/>
      <w:spacing w:lineRule="auto" w:line="276" w:before="0" w:after="0"/>
      <w:jc w:val="center"/>
      <w:textAlignment w:val="top"/>
    </w:pPr>
    <w:rPr>
      <w:rFonts w:ascii="Times New Roman" w:hAnsi="Times New Roman" w:cs="Times New Roman" w:eastAsia="NSimSun"/>
      <w:color w:val="auto"/>
      <w:kern w:val="2"/>
      <w:sz w:val="24"/>
      <w:szCs w:val="24"/>
      <w:lang w:val="ru-RU" w:eastAsia="zh-CN" w:bidi="hi-IN"/>
    </w:rPr>
  </w:style>
  <w:style w:type="paragraph" w:styleId="Style38" w:customStyle="1">
    <w:name w:val="ДТаблТекст"/>
    <w:qFormat/>
    <w:pPr>
      <w:widowControl/>
      <w:suppressAutoHyphens w:val="true"/>
      <w:bidi w:val="0"/>
      <w:spacing w:lineRule="auto" w:line="276" w:before="0" w:after="0"/>
      <w:jc w:val="left"/>
      <w:textAlignment w:val="top"/>
    </w:pPr>
    <w:rPr>
      <w:rFonts w:ascii="Times New Roman" w:hAnsi="Times New Roman" w:eastAsia="0" w:cs="Times New Roman"/>
      <w:color w:val="auto"/>
      <w:kern w:val="2"/>
      <w:sz w:val="24"/>
      <w:szCs w:val="24"/>
      <w:lang w:eastAsia="hi-IN" w:val="ru-RU" w:bidi="hi-IN"/>
    </w:rPr>
  </w:style>
  <w:style w:type="paragraph" w:styleId="Style39" w:customStyle="1">
    <w:name w:val="ДТаблШапка"/>
    <w:qFormat/>
    <w:pPr>
      <w:widowControl/>
      <w:suppressAutoHyphens w:val="true"/>
      <w:bidi w:val="0"/>
      <w:spacing w:lineRule="auto" w:line="276" w:before="0" w:after="0"/>
      <w:jc w:val="center"/>
      <w:textAlignment w:val="center"/>
    </w:pPr>
    <w:rPr>
      <w:rFonts w:ascii="Times New Roman" w:hAnsi="Times New Roman" w:eastAsia="0" w:cs="Times New Roman"/>
      <w:b/>
      <w:color w:val="auto"/>
      <w:kern w:val="2"/>
      <w:sz w:val="24"/>
      <w:szCs w:val="24"/>
      <w:lang w:eastAsia="hi-IN" w:val="ru-RU" w:bidi="hi-IN"/>
    </w:rPr>
  </w:style>
  <w:style w:type="paragraph" w:styleId="Style40" w:customStyle="1">
    <w:name w:val="ДНумирСпис"/>
    <w:qFormat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0" w:cs="Times New Roman"/>
      <w:color w:val="auto"/>
      <w:kern w:val="2"/>
      <w:sz w:val="24"/>
      <w:szCs w:val="24"/>
      <w:lang w:eastAsia="hi-IN" w:val="ru-RU" w:bidi="hi-IN"/>
    </w:rPr>
  </w:style>
  <w:style w:type="paragraph" w:styleId="Style41" w:customStyle="1">
    <w:name w:val="ДТитЛНазв"/>
    <w:basedOn w:val="Normal"/>
    <w:qFormat/>
    <w:pPr>
      <w:spacing w:lineRule="auto" w:line="360" w:before="113" w:after="113"/>
      <w:jc w:val="center"/>
    </w:pPr>
    <w:rPr>
      <w:rFonts w:ascii="Times New Roman" w:hAnsi="Times New Roman" w:cs="Times New Roman"/>
      <w:b/>
      <w:sz w:val="28"/>
    </w:rPr>
  </w:style>
  <w:style w:type="paragraph" w:styleId="Style42" w:customStyle="1">
    <w:name w:val="ДТитЛШап"/>
    <w:qFormat/>
    <w:pPr>
      <w:widowControl/>
      <w:suppressAutoHyphens w:val="true"/>
      <w:bidi w:val="0"/>
      <w:spacing w:before="170" w:after="170"/>
      <w:jc w:val="center"/>
    </w:pPr>
    <w:rPr>
      <w:rFonts w:ascii="Times New Roman" w:hAnsi="Times New Roman" w:cs="Times New Roman" w:eastAsia="NSimSun"/>
      <w:color w:val="auto"/>
      <w:kern w:val="2"/>
      <w:sz w:val="28"/>
      <w:szCs w:val="24"/>
      <w:lang w:val="ru-RU" w:eastAsia="zh-CN" w:bidi="hi-IN"/>
    </w:rPr>
  </w:style>
  <w:style w:type="paragraph" w:styleId="Style43" w:customStyle="1">
    <w:name w:val="ДТитЛШапЗаг"/>
    <w:qFormat/>
    <w:pPr>
      <w:widowControl/>
      <w:suppressAutoHyphens w:val="true"/>
      <w:bidi w:val="0"/>
      <w:spacing w:before="0" w:after="170"/>
      <w:jc w:val="center"/>
      <w:textAlignment w:val="top"/>
    </w:pPr>
    <w:rPr>
      <w:rFonts w:ascii="Times New Roman" w:hAnsi="Times New Roman" w:cs="Times New Roman" w:eastAsia="NSimSun"/>
      <w:b/>
      <w:caps/>
      <w:color w:val="auto"/>
      <w:kern w:val="2"/>
      <w:sz w:val="28"/>
      <w:szCs w:val="24"/>
      <w:lang w:val="ru-RU" w:eastAsia="zh-CN" w:bidi="hi-IN"/>
    </w:rPr>
  </w:style>
  <w:style w:type="paragraph" w:styleId="13" w:customStyle="1">
    <w:name w:val="ДТитЛЗаг1"/>
    <w:basedOn w:val="Normal"/>
    <w:qFormat/>
    <w:pPr>
      <w:spacing w:lineRule="auto" w:line="480"/>
      <w:jc w:val="center"/>
    </w:pPr>
    <w:rPr>
      <w:rFonts w:ascii="Times New Roman" w:hAnsi="Times New Roman" w:cs="Times New Roman"/>
      <w:caps/>
      <w:sz w:val="28"/>
    </w:rPr>
  </w:style>
  <w:style w:type="paragraph" w:styleId="C" w:customStyle="1">
    <w:name w:val="ДМаркСпиc"/>
    <w:qFormat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0" w:cs="Times New Roman"/>
      <w:color w:val="auto"/>
      <w:kern w:val="2"/>
      <w:sz w:val="24"/>
      <w:szCs w:val="24"/>
      <w:lang w:eastAsia="hi-IN" w:val="ru-RU" w:bidi="hi-IN"/>
    </w:rPr>
  </w:style>
  <w:style w:type="paragraph" w:styleId="Style44" w:customStyle="1">
    <w:name w:val="ДТекст"/>
    <w:basedOn w:val="Normal"/>
    <w:qFormat/>
    <w:pPr>
      <w:spacing w:lineRule="auto" w:line="360"/>
      <w:ind w:firstLine="709"/>
      <w:jc w:val="both"/>
    </w:pPr>
    <w:rPr>
      <w:rFonts w:ascii="Times New Roman" w:hAnsi="Times New Roman" w:cs="Times New Roman"/>
    </w:rPr>
  </w:style>
  <w:style w:type="paragraph" w:styleId="22" w:customStyle="1">
    <w:name w:val="ДЗаг2"/>
    <w:qFormat/>
    <w:pPr>
      <w:keepNext w:val="true"/>
      <w:widowControl/>
      <w:suppressAutoHyphens w:val="true"/>
      <w:bidi w:val="0"/>
      <w:spacing w:before="170" w:after="170"/>
      <w:ind w:hanging="425" w:left="1106"/>
      <w:jc w:val="left"/>
    </w:pPr>
    <w:rPr>
      <w:rFonts w:ascii="Times New Roman" w:hAnsi="Times New Roman" w:eastAsia="0" w:cs="Times New Roman"/>
      <w:b/>
      <w:color w:val="auto"/>
      <w:kern w:val="2"/>
      <w:sz w:val="28"/>
      <w:szCs w:val="24"/>
      <w:lang w:eastAsia="hi-IN" w:val="ru-RU" w:bidi="hi-IN"/>
    </w:rPr>
  </w:style>
  <w:style w:type="paragraph" w:styleId="14" w:customStyle="1">
    <w:name w:val="ДЗаг1"/>
    <w:qFormat/>
    <w:pPr>
      <w:keepNext w:val="true"/>
      <w:widowControl/>
      <w:suppressAutoHyphens w:val="true"/>
      <w:bidi w:val="0"/>
      <w:spacing w:before="283" w:after="113"/>
      <w:jc w:val="center"/>
    </w:pPr>
    <w:rPr>
      <w:rFonts w:ascii="Times New Roman" w:hAnsi="Times New Roman" w:eastAsia="0" w:cs="Times New Roman"/>
      <w:b/>
      <w:color w:val="auto"/>
      <w:kern w:val="2"/>
      <w:sz w:val="32"/>
      <w:szCs w:val="24"/>
      <w:lang w:eastAsia="hi-IN" w:val="ru-RU" w:bidi="hi-IN"/>
    </w:rPr>
  </w:style>
  <w:style w:type="paragraph" w:styleId="Style45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Style46" w:customStyle="1">
    <w:name w:val="ЭУМ РисПодп"/>
    <w:basedOn w:val="Style20"/>
    <w:next w:val="Style14"/>
    <w:qFormat/>
    <w:pPr>
      <w:keepNext w:val="false"/>
      <w:numPr>
        <w:ilvl w:val="0"/>
        <w:numId w:val="8"/>
      </w:numPr>
      <w:ind w:firstLine="680"/>
    </w:pPr>
    <w:rPr/>
  </w:style>
  <w:style w:type="paragraph" w:styleId="15" w:customStyle="1">
    <w:name w:val="Обычная таблиц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eastAsia="ru-RU" w:bidi="ar-SA" w:val="ru-RU"/>
    </w:rPr>
  </w:style>
  <w:style w:type="paragraph" w:styleId="PlainText1" w:customStyle="1">
    <w:name w:val="PlainText"/>
    <w:qFormat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Symbol" w:cs="Times New Roman"/>
      <w:color w:val="auto"/>
      <w:kern w:val="2"/>
      <w:sz w:val="28"/>
      <w:szCs w:val="24"/>
      <w:lang w:eastAsia="ru-RU" w:bidi="ar-SA" w:val="ru-RU"/>
    </w:rPr>
  </w:style>
  <w:style w:type="paragraph" w:styleId="ItemizedList11" w:customStyle="1">
    <w:name w:val="ItemizedList1"/>
    <w:qFormat/>
    <w:pPr>
      <w:widowControl/>
      <w:numPr>
        <w:ilvl w:val="0"/>
        <w:numId w:val="10"/>
      </w:numPr>
      <w:suppressAutoHyphens w:val="true"/>
      <w:bidi w:val="0"/>
      <w:spacing w:lineRule="auto" w:line="360" w:before="0" w:after="0"/>
      <w:ind w:hanging="284" w:left="993"/>
      <w:jc w:val="both"/>
    </w:pPr>
    <w:rPr>
      <w:rFonts w:ascii="Times New Roman" w:hAnsi="Times New Roman" w:eastAsia="Symbol" w:cs="Times New Roman"/>
      <w:color w:val="auto"/>
      <w:kern w:val="2"/>
      <w:sz w:val="28"/>
      <w:szCs w:val="20"/>
      <w:lang w:eastAsia="ru-RU" w:bidi="ar-SA" w:val="ru-RU"/>
    </w:rPr>
  </w:style>
  <w:style w:type="paragraph" w:styleId="ItemizedList2" w:customStyle="1">
    <w:name w:val="ItemizedList2"/>
    <w:basedOn w:val="ItemizedList11"/>
    <w:qFormat/>
    <w:pPr>
      <w:tabs>
        <w:tab w:val="clear" w:pos="709"/>
        <w:tab w:val="left" w:pos="360" w:leader="none"/>
      </w:tabs>
      <w:ind w:hanging="360" w:left="2149"/>
    </w:pPr>
    <w:rPr>
      <w:szCs w:val="24"/>
    </w:rPr>
  </w:style>
  <w:style w:type="paragraph" w:styleId="ItemizedList3" w:customStyle="1">
    <w:name w:val="ItemizedList3"/>
    <w:basedOn w:val="ItemizedList11"/>
    <w:qFormat/>
    <w:pPr>
      <w:tabs>
        <w:tab w:val="clear" w:pos="709"/>
        <w:tab w:val="left" w:pos="360" w:leader="none"/>
      </w:tabs>
      <w:ind w:hanging="360" w:left="2869"/>
    </w:pPr>
    <w:rPr>
      <w:szCs w:val="24"/>
    </w:rPr>
  </w:style>
  <w:style w:type="paragraph" w:styleId="ItemizedList4" w:customStyle="1">
    <w:name w:val="ItemizedList4"/>
    <w:basedOn w:val="ItemizedList11"/>
    <w:qFormat/>
    <w:pPr>
      <w:tabs>
        <w:tab w:val="clear" w:pos="709"/>
        <w:tab w:val="left" w:pos="360" w:leader="none"/>
      </w:tabs>
      <w:ind w:hanging="360" w:left="3589"/>
    </w:pPr>
    <w:rPr/>
  </w:style>
  <w:style w:type="paragraph" w:styleId="ItemizedList5" w:customStyle="1">
    <w:name w:val="ItemizedList5"/>
    <w:basedOn w:val="ItemizedList11"/>
    <w:qFormat/>
    <w:pPr>
      <w:tabs>
        <w:tab w:val="clear" w:pos="709"/>
        <w:tab w:val="left" w:pos="360" w:leader="none"/>
      </w:tabs>
      <w:ind w:hanging="360" w:left="4309"/>
    </w:pPr>
    <w:rPr/>
  </w:style>
  <w:style w:type="paragraph" w:styleId="ItemizedList6" w:customStyle="1">
    <w:name w:val="ItemizedList6"/>
    <w:basedOn w:val="ItemizedList11"/>
    <w:qFormat/>
    <w:pPr>
      <w:tabs>
        <w:tab w:val="clear" w:pos="709"/>
        <w:tab w:val="left" w:pos="360" w:leader="none"/>
      </w:tabs>
      <w:ind w:hanging="360" w:left="5029"/>
    </w:pPr>
    <w:rPr/>
  </w:style>
  <w:style w:type="paragraph" w:styleId="ItemizedList7" w:customStyle="1">
    <w:name w:val="ItemizedList7"/>
    <w:basedOn w:val="ItemizedList11"/>
    <w:qFormat/>
    <w:pPr>
      <w:tabs>
        <w:tab w:val="clear" w:pos="709"/>
        <w:tab w:val="left" w:pos="360" w:leader="none"/>
      </w:tabs>
      <w:ind w:hanging="360" w:left="5749"/>
    </w:pPr>
    <w:rPr/>
  </w:style>
  <w:style w:type="paragraph" w:styleId="ItemizedList8" w:customStyle="1">
    <w:name w:val="ItemizedList8"/>
    <w:basedOn w:val="ItemizedList11"/>
    <w:qFormat/>
    <w:pPr>
      <w:tabs>
        <w:tab w:val="clear" w:pos="709"/>
        <w:tab w:val="left" w:pos="360" w:leader="none"/>
      </w:tabs>
      <w:ind w:hanging="360" w:left="6469"/>
    </w:pPr>
    <w:rPr/>
  </w:style>
  <w:style w:type="paragraph" w:styleId="ItemizedList9" w:customStyle="1">
    <w:name w:val="ItemizedList9"/>
    <w:basedOn w:val="ItemizedList11"/>
    <w:qFormat/>
    <w:pPr>
      <w:tabs>
        <w:tab w:val="clear" w:pos="709"/>
        <w:tab w:val="left" w:pos="360" w:leader="none"/>
      </w:tabs>
      <w:ind w:hanging="360" w:left="7189"/>
    </w:pPr>
    <w:rPr/>
  </w:style>
  <w:style w:type="paragraph" w:styleId="Comment" w:customStyle="1">
    <w:name w:val="Comment"/>
    <w:basedOn w:val="Normal"/>
    <w:qFormat/>
    <w:pPr/>
    <w:rPr>
      <w:sz w:val="20"/>
      <w:szCs w:val="20"/>
    </w:rPr>
  </w:style>
  <w:style w:type="paragraph" w:styleId="NormalTableWW" w:customStyle="1">
    <w:name w:val="Normal Table (WW)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2"/>
      <w:sz w:val="22"/>
      <w:szCs w:val="22"/>
      <w:lang w:eastAsia="en-US" w:bidi="ar-SA" w:val="ru-RU"/>
    </w:rPr>
  </w:style>
  <w:style w:type="paragraph" w:styleId="TableText1" w:customStyle="1">
    <w:name w:val="TableText"/>
    <w:qFormat/>
    <w:pPr>
      <w:widowControl/>
      <w:tabs>
        <w:tab w:val="clear" w:pos="709"/>
        <w:tab w:val="left" w:pos="0" w:leader="none"/>
      </w:tabs>
      <w:suppressAutoHyphens w:val="true"/>
      <w:bidi w:val="0"/>
      <w:spacing w:before="40" w:after="40"/>
      <w:jc w:val="left"/>
    </w:pPr>
    <w:rPr>
      <w:rFonts w:ascii="Times New Roman" w:hAnsi="Times New Roman" w:eastAsia="Times New Roman" w:cs="Times New Roman"/>
      <w:color w:val="auto"/>
      <w:kern w:val="2"/>
      <w:sz w:val="28"/>
      <w:szCs w:val="24"/>
      <w:lang w:eastAsia="ru-RU" w:bidi="ar-SA" w:val="ru-RU"/>
    </w:rPr>
  </w:style>
  <w:style w:type="paragraph" w:styleId="Style47" w:customStyle="1">
    <w:name w:val="_Заголовок"/>
    <w:basedOn w:val="Normal"/>
    <w:qFormat/>
    <w:pPr>
      <w:keepNext w:val="true"/>
      <w:tabs>
        <w:tab w:val="clear" w:pos="709"/>
        <w:tab w:val="left" w:pos="1276" w:leader="none"/>
      </w:tabs>
      <w:spacing w:before="0" w:after="240"/>
      <w:contextualSpacing/>
      <w:jc w:val="center"/>
      <w:outlineLvl w:val="0"/>
    </w:pPr>
    <w:rPr>
      <w:rFonts w:cs="Times New Roman"/>
      <w:b/>
      <w:caps/>
      <w:color w:val="000000"/>
      <w:sz w:val="28"/>
      <w:szCs w:val="28"/>
      <w:lang w:eastAsia="ru-RU" w:bidi="ar-SA"/>
    </w:rPr>
  </w:style>
  <w:style w:type="paragraph" w:styleId="Revision">
    <w:name w:val="Revision"/>
    <w:uiPriority w:val="99"/>
    <w:semiHidden/>
    <w:qFormat/>
    <w:rsid w:val="00ea7f95"/>
    <w:pPr>
      <w:widowControl/>
      <w:suppressAutoHyphens w:val="false"/>
      <w:bidi w:val="0"/>
      <w:spacing w:before="0" w:after="0"/>
      <w:jc w:val="left"/>
    </w:pPr>
    <w:rPr>
      <w:rFonts w:cs="Mangal" w:ascii="Liberation Serif" w:hAnsi="Liberation Serif" w:eastAsia="NSimSun"/>
      <w:color w:val="auto"/>
      <w:kern w:val="2"/>
      <w:sz w:val="24"/>
      <w:szCs w:val="21"/>
      <w:lang w:val="ru-RU" w:eastAsia="zh-CN" w:bidi="hi-IN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561006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561006"/>
    <w:pPr/>
    <w:rPr>
      <w:b/>
      <w:bCs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4044ee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numbering" w:styleId="Style48" w:customStyle="1">
    <w:name w:val="НомерЗаголовок"/>
    <w:qFormat/>
  </w:style>
  <w:style w:type="numbering" w:styleId="Style49" w:customStyle="1">
    <w:name w:val="МаркерТекст"/>
    <w:qFormat/>
  </w:style>
  <w:style w:type="numbering" w:styleId="Style50" w:customStyle="1">
    <w:name w:val="НомерТекст"/>
    <w:qFormat/>
  </w:style>
  <w:style w:type="numbering" w:styleId="Style51" w:customStyle="1">
    <w:name w:val="МаркерТаблицы"/>
    <w:qFormat/>
  </w:style>
  <w:style w:type="numbering" w:styleId="Style52" w:customStyle="1">
    <w:name w:val="НумСписТаблицы"/>
    <w:qFormat/>
  </w:style>
  <w:style w:type="numbering" w:styleId="Style53" w:customStyle="1">
    <w:name w:val="НомерСтрокиТабл"/>
    <w:qFormat/>
  </w:style>
  <w:style w:type="numbering" w:styleId="Style54" w:customStyle="1">
    <w:name w:val="БуквСпис"/>
    <w:qFormat/>
  </w:style>
  <w:style w:type="numbering" w:styleId="Style55" w:customStyle="1">
    <w:name w:val="НомерРисунка"/>
    <w:qFormat/>
  </w:style>
  <w:style w:type="numbering" w:styleId="Style56" w:customStyle="1">
    <w:name w:val="Номер таблицы"/>
    <w:qFormat/>
  </w:style>
  <w:style w:type="table" w:default="1" w:styleId="ab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image" Target="media/image26.png"/><Relationship Id="rId28" Type="http://schemas.openxmlformats.org/officeDocument/2006/relationships/image" Target="media/image27.png"/><Relationship Id="rId29" Type="http://schemas.openxmlformats.org/officeDocument/2006/relationships/image" Target="media/image28.png"/><Relationship Id="rId30" Type="http://schemas.openxmlformats.org/officeDocument/2006/relationships/image" Target="media/image29.png"/><Relationship Id="rId31" Type="http://schemas.openxmlformats.org/officeDocument/2006/relationships/image" Target="media/image30.png"/><Relationship Id="rId32" Type="http://schemas.openxmlformats.org/officeDocument/2006/relationships/image" Target="media/image31.png"/><Relationship Id="rId33" Type="http://schemas.openxmlformats.org/officeDocument/2006/relationships/image" Target="media/image32.png"/><Relationship Id="rId34" Type="http://schemas.openxmlformats.org/officeDocument/2006/relationships/image" Target="media/image33.png"/><Relationship Id="rId35" Type="http://schemas.openxmlformats.org/officeDocument/2006/relationships/image" Target="media/image34.png"/><Relationship Id="rId36" Type="http://schemas.openxmlformats.org/officeDocument/2006/relationships/image" Target="media/image35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6.png"/><Relationship Id="rId40" Type="http://schemas.openxmlformats.org/officeDocument/2006/relationships/image" Target="media/image37.png"/><Relationship Id="rId41" Type="http://schemas.openxmlformats.org/officeDocument/2006/relationships/image" Target="media/image38.png"/><Relationship Id="rId42" Type="http://schemas.openxmlformats.org/officeDocument/2006/relationships/image" Target="media/image39.png"/><Relationship Id="rId43" Type="http://schemas.openxmlformats.org/officeDocument/2006/relationships/image" Target="media/image40.png"/><Relationship Id="rId44" Type="http://schemas.openxmlformats.org/officeDocument/2006/relationships/image" Target="media/image41.png"/><Relationship Id="rId45" Type="http://schemas.openxmlformats.org/officeDocument/2006/relationships/image" Target="media/image42.png"/><Relationship Id="rId46" Type="http://schemas.openxmlformats.org/officeDocument/2006/relationships/image" Target="media/image29.png"/><Relationship Id="rId47" Type="http://schemas.openxmlformats.org/officeDocument/2006/relationships/image" Target="media/image30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38.png"/><Relationship Id="rId51" Type="http://schemas.openxmlformats.org/officeDocument/2006/relationships/image" Target="media/image45.png"/><Relationship Id="rId52" Type="http://schemas.openxmlformats.org/officeDocument/2006/relationships/image" Target="media/image46.png"/><Relationship Id="rId53" Type="http://schemas.openxmlformats.org/officeDocument/2006/relationships/image" Target="media/image47.png"/><Relationship Id="rId54" Type="http://schemas.openxmlformats.org/officeDocument/2006/relationships/image" Target="media/image23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21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1.png"/><Relationship Id="rId76" Type="http://schemas.openxmlformats.org/officeDocument/2006/relationships/image" Target="media/image67.png"/><Relationship Id="rId77" Type="http://schemas.openxmlformats.org/officeDocument/2006/relationships/image" Target="media/image68.png"/><Relationship Id="rId78" Type="http://schemas.openxmlformats.org/officeDocument/2006/relationships/image" Target="media/image62.png"/><Relationship Id="rId79" Type="http://schemas.openxmlformats.org/officeDocument/2006/relationships/image" Target="media/image69.png"/><Relationship Id="rId80" Type="http://schemas.openxmlformats.org/officeDocument/2006/relationships/image" Target="media/image61.png"/><Relationship Id="rId81" Type="http://schemas.openxmlformats.org/officeDocument/2006/relationships/image" Target="media/image70.png"/><Relationship Id="rId82" Type="http://schemas.openxmlformats.org/officeDocument/2006/relationships/image" Target="media/image71.png"/><Relationship Id="rId83" Type="http://schemas.openxmlformats.org/officeDocument/2006/relationships/image" Target="media/image72.png"/><Relationship Id="rId84" Type="http://schemas.openxmlformats.org/officeDocument/2006/relationships/image" Target="media/image73.png"/><Relationship Id="rId85" Type="http://schemas.openxmlformats.org/officeDocument/2006/relationships/image" Target="media/image74.png"/><Relationship Id="rId86" Type="http://schemas.openxmlformats.org/officeDocument/2006/relationships/image" Target="media/image62.png"/><Relationship Id="rId87" Type="http://schemas.openxmlformats.org/officeDocument/2006/relationships/image" Target="media/image75.png"/><Relationship Id="rId88" Type="http://schemas.openxmlformats.org/officeDocument/2006/relationships/image" Target="media/image76.png"/><Relationship Id="rId89" Type="http://schemas.openxmlformats.org/officeDocument/2006/relationships/image" Target="media/image61.png"/><Relationship Id="rId90" Type="http://schemas.openxmlformats.org/officeDocument/2006/relationships/image" Target="media/image77.png"/><Relationship Id="rId91" Type="http://schemas.openxmlformats.org/officeDocument/2006/relationships/image" Target="media/image78.png"/><Relationship Id="rId92" Type="http://schemas.openxmlformats.org/officeDocument/2006/relationships/image" Target="media/image79.png"/><Relationship Id="rId93" Type="http://schemas.openxmlformats.org/officeDocument/2006/relationships/image" Target="media/image80.png"/><Relationship Id="rId94" Type="http://schemas.openxmlformats.org/officeDocument/2006/relationships/image" Target="media/image81.png"/><Relationship Id="rId95" Type="http://schemas.openxmlformats.org/officeDocument/2006/relationships/image" Target="media/image82.png"/><Relationship Id="rId96" Type="http://schemas.openxmlformats.org/officeDocument/2006/relationships/image" Target="media/image83.png"/><Relationship Id="rId97" Type="http://schemas.openxmlformats.org/officeDocument/2006/relationships/image" Target="media/image84.png"/><Relationship Id="rId98" Type="http://schemas.openxmlformats.org/officeDocument/2006/relationships/image" Target="media/image85.png"/><Relationship Id="rId99" Type="http://schemas.openxmlformats.org/officeDocument/2006/relationships/image" Target="media/image86.png"/><Relationship Id="rId100" Type="http://schemas.openxmlformats.org/officeDocument/2006/relationships/image" Target="media/image87.png"/><Relationship Id="rId101" Type="http://schemas.openxmlformats.org/officeDocument/2006/relationships/image" Target="media/image88.png"/><Relationship Id="rId102" Type="http://schemas.openxmlformats.org/officeDocument/2006/relationships/image" Target="media/image89.png"/><Relationship Id="rId103" Type="http://schemas.openxmlformats.org/officeDocument/2006/relationships/image" Target="media/image90.png"/><Relationship Id="rId104" Type="http://schemas.openxmlformats.org/officeDocument/2006/relationships/image" Target="media/image21.png"/><Relationship Id="rId105" Type="http://schemas.openxmlformats.org/officeDocument/2006/relationships/image" Target="media/image91.png"/><Relationship Id="rId106" Type="http://schemas.openxmlformats.org/officeDocument/2006/relationships/image" Target="media/image92.png"/><Relationship Id="rId107" Type="http://schemas.openxmlformats.org/officeDocument/2006/relationships/image" Target="media/image93.png"/><Relationship Id="rId108" Type="http://schemas.openxmlformats.org/officeDocument/2006/relationships/image" Target="media/image94.png"/><Relationship Id="rId109" Type="http://schemas.openxmlformats.org/officeDocument/2006/relationships/image" Target="media/image95.png"/><Relationship Id="rId110" Type="http://schemas.openxmlformats.org/officeDocument/2006/relationships/image" Target="media/image96.png"/><Relationship Id="rId111" Type="http://schemas.openxmlformats.org/officeDocument/2006/relationships/image" Target="media/image97.png"/><Relationship Id="rId112" Type="http://schemas.openxmlformats.org/officeDocument/2006/relationships/image" Target="media/image92.png"/><Relationship Id="rId113" Type="http://schemas.openxmlformats.org/officeDocument/2006/relationships/image" Target="media/image98.png"/><Relationship Id="rId114" Type="http://schemas.openxmlformats.org/officeDocument/2006/relationships/image" Target="media/image99.png"/><Relationship Id="rId115" Type="http://schemas.openxmlformats.org/officeDocument/2006/relationships/image" Target="media/image100.png"/><Relationship Id="rId116" Type="http://schemas.openxmlformats.org/officeDocument/2006/relationships/image" Target="media/image101.png"/><Relationship Id="rId117" Type="http://schemas.openxmlformats.org/officeDocument/2006/relationships/image" Target="media/image21.png"/><Relationship Id="rId118" Type="http://schemas.openxmlformats.org/officeDocument/2006/relationships/image" Target="media/image102.png"/><Relationship Id="rId119" Type="http://schemas.openxmlformats.org/officeDocument/2006/relationships/footer" Target="footer1.xml"/><Relationship Id="rId120" Type="http://schemas.openxmlformats.org/officeDocument/2006/relationships/footer" Target="footer2.xml"/><Relationship Id="rId121" Type="http://schemas.openxmlformats.org/officeDocument/2006/relationships/numbering" Target="numbering.xml"/><Relationship Id="rId122" Type="http://schemas.openxmlformats.org/officeDocument/2006/relationships/fontTable" Target="fontTable.xml"/><Relationship Id="rId123" Type="http://schemas.openxmlformats.org/officeDocument/2006/relationships/settings" Target="settings.xml"/><Relationship Id="rId124" Type="http://schemas.openxmlformats.org/officeDocument/2006/relationships/theme" Target="theme/theme1.xml"/><Relationship Id="rId12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4D537-1C76-4EB0-8050-548F02A6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LibreOffice/7.6.2.1$Windows_X86_64 LibreOffice_project/56f7684011345957bbf33a7ee678afaf4d2ba333</Application>
  <AppVersion>15.0000</AppVersion>
  <Pages>35</Pages>
  <Words>7624</Words>
  <Characters>53715</Characters>
  <CharactersWithSpaces>60445</CharactersWithSpaces>
  <Paragraphs>827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2024-12-13T06:25:00Z</dcterms:created>
  <dc:creator>Дмитрий Горянин</dc:creator>
  <dc:description/>
  <dc:language>ru-RU</dc:language>
  <cp:lastModifiedBy>Колокольцова Анастасия Викторовна</cp:lastModifiedBy>
  <cp:lastPrinted>2024-12-09T13:10:00Z</cp:lastPrinted>
  <dcterms:modified xsi:type="dcterms:W3CDTF">2024-12-13T06:30:00Z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